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F546A" w14:textId="77777777" w:rsidR="00EC0C85" w:rsidRDefault="00EC0C85" w:rsidP="00EC0C85">
      <w:pPr>
        <w:rPr>
          <w:rFonts w:ascii="標楷體" w:eastAsia="標楷體" w:hAnsi="標楷體"/>
          <w:b/>
          <w:bCs/>
          <w:color w:val="000000" w:themeColor="text1"/>
        </w:rPr>
      </w:pPr>
      <w:r>
        <w:rPr>
          <w:rFonts w:ascii="標楷體" w:eastAsia="標楷體" w:hAnsi="標楷體" w:hint="eastAsia"/>
          <w:b/>
          <w:bCs/>
          <w:color w:val="000000" w:themeColor="text1"/>
        </w:rPr>
        <w:t>附表：原告主張被告等之不法事實及解任事由</w:t>
      </w:r>
    </w:p>
    <w:tbl>
      <w:tblPr>
        <w:tblStyle w:val="a7"/>
        <w:tblW w:w="13892" w:type="dxa"/>
        <w:tblInd w:w="-147" w:type="dxa"/>
        <w:tblLook w:val="04A0" w:firstRow="1" w:lastRow="0" w:firstColumn="1" w:lastColumn="0" w:noHBand="0" w:noVBand="1"/>
      </w:tblPr>
      <w:tblGrid>
        <w:gridCol w:w="831"/>
        <w:gridCol w:w="8525"/>
        <w:gridCol w:w="4536"/>
      </w:tblGrid>
      <w:tr w:rsidR="00EC0C85" w14:paraId="50B24F20" w14:textId="77777777" w:rsidTr="00EC0C85">
        <w:tc>
          <w:tcPr>
            <w:tcW w:w="831" w:type="dxa"/>
            <w:tcBorders>
              <w:top w:val="single" w:sz="4" w:space="0" w:color="auto"/>
              <w:left w:val="single" w:sz="4" w:space="0" w:color="auto"/>
              <w:bottom w:val="single" w:sz="4" w:space="0" w:color="auto"/>
              <w:right w:val="single" w:sz="4" w:space="0" w:color="auto"/>
            </w:tcBorders>
            <w:hideMark/>
          </w:tcPr>
          <w:p w14:paraId="249655B4"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編號</w:t>
            </w:r>
          </w:p>
        </w:tc>
        <w:tc>
          <w:tcPr>
            <w:tcW w:w="8525" w:type="dxa"/>
            <w:tcBorders>
              <w:top w:val="single" w:sz="4" w:space="0" w:color="auto"/>
              <w:left w:val="single" w:sz="4" w:space="0" w:color="auto"/>
              <w:bottom w:val="single" w:sz="4" w:space="0" w:color="auto"/>
              <w:right w:val="single" w:sz="4" w:space="0" w:color="auto"/>
            </w:tcBorders>
            <w:hideMark/>
          </w:tcPr>
          <w:p w14:paraId="3662A326"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不法事實</w:t>
            </w:r>
          </w:p>
        </w:tc>
        <w:tc>
          <w:tcPr>
            <w:tcW w:w="4536" w:type="dxa"/>
            <w:tcBorders>
              <w:top w:val="single" w:sz="4" w:space="0" w:color="auto"/>
              <w:left w:val="single" w:sz="4" w:space="0" w:color="auto"/>
              <w:bottom w:val="single" w:sz="4" w:space="0" w:color="auto"/>
              <w:right w:val="single" w:sz="4" w:space="0" w:color="auto"/>
            </w:tcBorders>
            <w:hideMark/>
          </w:tcPr>
          <w:p w14:paraId="0119AA99"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解任事由</w:t>
            </w:r>
          </w:p>
        </w:tc>
      </w:tr>
      <w:tr w:rsidR="00EC0C85" w14:paraId="74CD2ECD" w14:textId="77777777" w:rsidTr="00EC0C85">
        <w:tc>
          <w:tcPr>
            <w:tcW w:w="831" w:type="dxa"/>
            <w:tcBorders>
              <w:top w:val="single" w:sz="4" w:space="0" w:color="auto"/>
              <w:left w:val="single" w:sz="4" w:space="0" w:color="auto"/>
              <w:bottom w:val="single" w:sz="4" w:space="0" w:color="auto"/>
              <w:right w:val="single" w:sz="4" w:space="0" w:color="auto"/>
            </w:tcBorders>
            <w:hideMark/>
          </w:tcPr>
          <w:p w14:paraId="63926A85"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甲</w:t>
            </w:r>
            <w:proofErr w:type="gramStart"/>
            <w:r>
              <w:rPr>
                <w:rFonts w:ascii="標楷體" w:eastAsia="標楷體" w:hAnsi="標楷體" w:hint="eastAsia"/>
                <w:b/>
                <w:bCs/>
                <w:color w:val="000000" w:themeColor="text1"/>
              </w:rPr>
              <w:t>一</w:t>
            </w:r>
            <w:proofErr w:type="gramEnd"/>
          </w:p>
        </w:tc>
        <w:tc>
          <w:tcPr>
            <w:tcW w:w="8525" w:type="dxa"/>
            <w:tcBorders>
              <w:top w:val="single" w:sz="4" w:space="0" w:color="auto"/>
              <w:left w:val="single" w:sz="4" w:space="0" w:color="auto"/>
              <w:bottom w:val="single" w:sz="4" w:space="0" w:color="auto"/>
              <w:right w:val="single" w:sz="4" w:space="0" w:color="auto"/>
            </w:tcBorders>
            <w:hideMark/>
          </w:tcPr>
          <w:p w14:paraId="030D6B34"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未揭露關係人交易：</w:t>
            </w:r>
          </w:p>
          <w:p w14:paraId="34D6592C"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 xml:space="preserve">沈瑋明知Expert Time Holdings Limited(下稱，ETHL公司)為其100%持有之公司，而ETHL公司自98年12月2日起即為Sino-JP Asset Management </w:t>
            </w:r>
            <w:proofErr w:type="spellStart"/>
            <w:r>
              <w:rPr>
                <w:rFonts w:ascii="標楷體" w:eastAsia="標楷體" w:hAnsi="標楷體" w:hint="eastAsia"/>
                <w:b/>
                <w:bCs/>
                <w:color w:val="000000" w:themeColor="text1"/>
              </w:rPr>
              <w:t>Co.,Ltd</w:t>
            </w:r>
            <w:proofErr w:type="spellEnd"/>
            <w:r>
              <w:rPr>
                <w:rFonts w:ascii="標楷體" w:eastAsia="標楷體" w:hAnsi="標楷體" w:hint="eastAsia"/>
                <w:b/>
                <w:bCs/>
                <w:color w:val="000000" w:themeColor="text1"/>
              </w:rPr>
              <w:t>(下稱，Sino-JP Asset)之唯一股東，Sino-JP Asset自93年9月9日起即對Sino-JP fund具有100%之管理權，於103</w:t>
            </w:r>
            <w:proofErr w:type="gramStart"/>
            <w:r>
              <w:rPr>
                <w:rFonts w:ascii="標楷體" w:eastAsia="標楷體" w:hAnsi="標楷體" w:hint="eastAsia"/>
                <w:b/>
                <w:bCs/>
                <w:color w:val="000000" w:themeColor="text1"/>
              </w:rPr>
              <w:t>年間均為沈瑋</w:t>
            </w:r>
            <w:proofErr w:type="gramEnd"/>
            <w:r>
              <w:rPr>
                <w:rFonts w:ascii="標楷體" w:eastAsia="標楷體" w:hAnsi="標楷體" w:hint="eastAsia"/>
                <w:b/>
                <w:bCs/>
                <w:color w:val="000000" w:themeColor="text1"/>
              </w:rPr>
              <w:t>所控制之法人個體，依國際財務會計準則公報第24號及財務會計準則公報第6號，應於財報中充分揭露前述關係人之關係及交易。然</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紳公司董事會於103年3月28日通過決議，由</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紳公司及其100%子公司明</w:t>
            </w:r>
            <w:proofErr w:type="gramStart"/>
            <w:r>
              <w:rPr>
                <w:rFonts w:ascii="標楷體" w:eastAsia="標楷體" w:hAnsi="標楷體" w:hint="eastAsia"/>
                <w:b/>
                <w:bCs/>
                <w:color w:val="000000" w:themeColor="text1"/>
              </w:rPr>
              <w:t>洧</w:t>
            </w:r>
            <w:proofErr w:type="gramEnd"/>
            <w:r>
              <w:rPr>
                <w:rFonts w:ascii="標楷體" w:eastAsia="標楷體" w:hAnsi="標楷體" w:hint="eastAsia"/>
                <w:b/>
                <w:bCs/>
                <w:color w:val="000000" w:themeColor="text1"/>
              </w:rPr>
              <w:t>公司分別陸續投資Sino-JP Fund所發行之權益證券新臺幣（以下如未註明幣別即為新台幣）8,256萬7,000元及1,565萬元之交易，沈瑋卻於財務報告中隱匿、未揭露上開關係人交易，致</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w:t>
            </w:r>
            <w:proofErr w:type="gramStart"/>
            <w:r>
              <w:rPr>
                <w:rFonts w:ascii="標楷體" w:eastAsia="標楷體" w:hAnsi="標楷體" w:hint="eastAsia"/>
                <w:b/>
                <w:bCs/>
                <w:color w:val="000000" w:themeColor="text1"/>
              </w:rPr>
              <w:t>103</w:t>
            </w:r>
            <w:proofErr w:type="gramEnd"/>
            <w:r>
              <w:rPr>
                <w:rFonts w:ascii="標楷體" w:eastAsia="標楷體" w:hAnsi="標楷體" w:hint="eastAsia"/>
                <w:b/>
                <w:bCs/>
                <w:color w:val="000000" w:themeColor="text1"/>
              </w:rPr>
              <w:t>年度及以後各年度之個體財報發生不實結果。經檢察官認定違反商業會計法第71條第5款利用不正當方法致財務報告發生</w:t>
            </w:r>
            <w:proofErr w:type="gramStart"/>
            <w:r>
              <w:rPr>
                <w:rFonts w:ascii="標楷體" w:eastAsia="標楷體" w:hAnsi="標楷體" w:hint="eastAsia"/>
                <w:b/>
                <w:bCs/>
                <w:color w:val="000000" w:themeColor="text1"/>
              </w:rPr>
              <w:t>不實罪而</w:t>
            </w:r>
            <w:proofErr w:type="gramEnd"/>
            <w:r>
              <w:rPr>
                <w:rFonts w:ascii="標楷體" w:eastAsia="標楷體" w:hAnsi="標楷體" w:hint="eastAsia"/>
                <w:b/>
                <w:bCs/>
                <w:color w:val="000000" w:themeColor="text1"/>
              </w:rPr>
              <w:t>起訴。</w:t>
            </w:r>
          </w:p>
        </w:tc>
        <w:tc>
          <w:tcPr>
            <w:tcW w:w="4536" w:type="dxa"/>
            <w:tcBorders>
              <w:top w:val="single" w:sz="4" w:space="0" w:color="auto"/>
              <w:left w:val="single" w:sz="4" w:space="0" w:color="auto"/>
              <w:bottom w:val="single" w:sz="4" w:space="0" w:color="auto"/>
              <w:right w:val="single" w:sz="4" w:space="0" w:color="auto"/>
            </w:tcBorders>
            <w:hideMark/>
          </w:tcPr>
          <w:p w14:paraId="1E27B811"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違反商業會計法第71條第5款之罪，已達解任之重大性標準，應構成投保法第 10條之 1第1項第 2款「違反法令之重大事項」之解任事由。</w:t>
            </w:r>
          </w:p>
        </w:tc>
      </w:tr>
      <w:tr w:rsidR="00EC0C85" w14:paraId="6C1FDAA9" w14:textId="77777777" w:rsidTr="00EC0C85">
        <w:tc>
          <w:tcPr>
            <w:tcW w:w="831" w:type="dxa"/>
            <w:tcBorders>
              <w:top w:val="single" w:sz="4" w:space="0" w:color="auto"/>
              <w:left w:val="single" w:sz="4" w:space="0" w:color="auto"/>
              <w:bottom w:val="single" w:sz="4" w:space="0" w:color="auto"/>
              <w:right w:val="single" w:sz="4" w:space="0" w:color="auto"/>
            </w:tcBorders>
            <w:hideMark/>
          </w:tcPr>
          <w:p w14:paraId="7E896B60"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甲二</w:t>
            </w:r>
          </w:p>
        </w:tc>
        <w:tc>
          <w:tcPr>
            <w:tcW w:w="8525" w:type="dxa"/>
            <w:tcBorders>
              <w:top w:val="single" w:sz="4" w:space="0" w:color="auto"/>
              <w:left w:val="single" w:sz="4" w:space="0" w:color="auto"/>
              <w:bottom w:val="single" w:sz="4" w:space="0" w:color="auto"/>
              <w:right w:val="single" w:sz="4" w:space="0" w:color="auto"/>
            </w:tcBorders>
            <w:hideMark/>
          </w:tcPr>
          <w:p w14:paraId="78E93A48"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GPS專利權交易案：</w:t>
            </w:r>
          </w:p>
          <w:p w14:paraId="266DD877"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沈瑋為避免</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紳公司股價</w:t>
            </w:r>
            <w:proofErr w:type="gramStart"/>
            <w:r>
              <w:rPr>
                <w:rFonts w:ascii="標楷體" w:eastAsia="標楷體" w:hAnsi="標楷體" w:hint="eastAsia"/>
                <w:b/>
                <w:bCs/>
                <w:color w:val="000000" w:themeColor="text1"/>
              </w:rPr>
              <w:t>因遭櫃買</w:t>
            </w:r>
            <w:proofErr w:type="gramEnd"/>
            <w:r>
              <w:rPr>
                <w:rFonts w:ascii="標楷體" w:eastAsia="標楷體" w:hAnsi="標楷體" w:hint="eastAsia"/>
                <w:b/>
                <w:bCs/>
                <w:color w:val="000000" w:themeColor="text1"/>
              </w:rPr>
              <w:t>中心處分使自身遭受重大損失，同時並為侵吞</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紳公司原100%持股之子公司TPHK公司之股權，遂主導以其持有之「與GPS設備進行通訊的設備與方法」專利，以羅馬國際評估有限公司不實之</w:t>
            </w:r>
            <w:proofErr w:type="gramStart"/>
            <w:r>
              <w:rPr>
                <w:rFonts w:ascii="標楷體" w:eastAsia="標楷體" w:hAnsi="標楷體" w:hint="eastAsia"/>
                <w:b/>
                <w:bCs/>
                <w:color w:val="000000" w:themeColor="text1"/>
              </w:rPr>
              <w:t>鑑</w:t>
            </w:r>
            <w:proofErr w:type="gramEnd"/>
            <w:r>
              <w:rPr>
                <w:rFonts w:ascii="標楷體" w:eastAsia="標楷體" w:hAnsi="標楷體" w:hint="eastAsia"/>
                <w:b/>
                <w:bCs/>
                <w:color w:val="000000" w:themeColor="text1"/>
              </w:rPr>
              <w:t>價報告作為交易價格之依據，使</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紳公司於104年9月24日形式上召開董事會，通過由TPHK公司發行新股，向沈瑋換取系爭GPS專利，</w:t>
            </w:r>
            <w:proofErr w:type="gramStart"/>
            <w:r>
              <w:rPr>
                <w:rFonts w:ascii="標楷體" w:eastAsia="標楷體" w:hAnsi="標楷體" w:hint="eastAsia"/>
                <w:b/>
                <w:bCs/>
                <w:color w:val="000000" w:themeColor="text1"/>
              </w:rPr>
              <w:t>致虛增淳</w:t>
            </w:r>
            <w:proofErr w:type="gramEnd"/>
            <w:r>
              <w:rPr>
                <w:rFonts w:ascii="標楷體" w:eastAsia="標楷體" w:hAnsi="標楷體" w:hint="eastAsia"/>
                <w:b/>
                <w:bCs/>
                <w:color w:val="000000" w:themeColor="text1"/>
              </w:rPr>
              <w:t>紳公司104年第3季財報「無形資產」42億793萬3,000元、「資本公積-未按持股比例認列增資股權益變動」1,535,049,000元，並使</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紳公司每股淨值自9.96元暴漲至29.03元，</w:t>
            </w:r>
            <w:proofErr w:type="gramStart"/>
            <w:r>
              <w:rPr>
                <w:rFonts w:ascii="標楷體" w:eastAsia="標楷體" w:hAnsi="標楷體" w:hint="eastAsia"/>
                <w:b/>
                <w:bCs/>
                <w:color w:val="000000" w:themeColor="text1"/>
              </w:rPr>
              <w:t>此外，</w:t>
            </w:r>
            <w:proofErr w:type="gramEnd"/>
            <w:r>
              <w:rPr>
                <w:rFonts w:ascii="標楷體" w:eastAsia="標楷體" w:hAnsi="標楷體" w:hint="eastAsia"/>
                <w:b/>
                <w:bCs/>
                <w:color w:val="000000" w:themeColor="text1"/>
              </w:rPr>
              <w:t>沈瑋以上</w:t>
            </w:r>
            <w:proofErr w:type="gramStart"/>
            <w:r>
              <w:rPr>
                <w:rFonts w:ascii="標楷體" w:eastAsia="標楷體" w:hAnsi="標楷體" w:hint="eastAsia"/>
                <w:b/>
                <w:bCs/>
                <w:color w:val="000000" w:themeColor="text1"/>
              </w:rPr>
              <w:t>揭</w:t>
            </w:r>
            <w:proofErr w:type="gramEnd"/>
            <w:r>
              <w:rPr>
                <w:rFonts w:ascii="標楷體" w:eastAsia="標楷體" w:hAnsi="標楷體" w:hint="eastAsia"/>
                <w:b/>
                <w:bCs/>
                <w:color w:val="000000" w:themeColor="text1"/>
              </w:rPr>
              <w:t>虛偽作價方式取得TPHK公司60.95%股權及該公司控制權，致</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紳公司對TPHK公司持股自100%下降至39.05%，</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紳公司並因此受有相對應權益受損之損害共計9,911萬6,280元。</w:t>
            </w:r>
          </w:p>
        </w:tc>
        <w:tc>
          <w:tcPr>
            <w:tcW w:w="4536" w:type="dxa"/>
            <w:tcBorders>
              <w:top w:val="single" w:sz="4" w:space="0" w:color="auto"/>
              <w:left w:val="single" w:sz="4" w:space="0" w:color="auto"/>
              <w:bottom w:val="single" w:sz="4" w:space="0" w:color="auto"/>
              <w:right w:val="single" w:sz="4" w:space="0" w:color="auto"/>
            </w:tcBorders>
            <w:hideMark/>
          </w:tcPr>
          <w:p w14:paraId="5F160DE4"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違反公司法第23條董事受託人義務、證券交易法第20條第1項及第2項、同法第171條第1項第1至3款等規定，屬執行業務重大損害公司及違反法令之重大事項，應依投保法第10條之1「執行業務重大損害公司之行為或違反法令或章程之重大事項」裁判解任。</w:t>
            </w:r>
          </w:p>
        </w:tc>
      </w:tr>
      <w:tr w:rsidR="00EC0C85" w14:paraId="11259550" w14:textId="77777777" w:rsidTr="00EC0C85">
        <w:tc>
          <w:tcPr>
            <w:tcW w:w="83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D1488BF"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lastRenderedPageBreak/>
              <w:t>甲三</w:t>
            </w:r>
          </w:p>
        </w:tc>
        <w:tc>
          <w:tcPr>
            <w:tcW w:w="8525"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7CECAE6"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電池包專利使用交易案：</w:t>
            </w:r>
          </w:p>
          <w:p w14:paraId="134AA649"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緣TPHK公司截至105年9月30日止，屆期、待償還</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紳公司之借款債務已累積至9,095萬0,328元， 沈瑋及陳明煒為免除TPHK公司應償還</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紳公司之鉅額債務，於105年10月21日主導</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紳公司與TPHK公司簽訂非專屬授權契約，將由</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紳公司研發、原應由淳</w:t>
            </w:r>
            <w:proofErr w:type="gramStart"/>
            <w:r>
              <w:rPr>
                <w:rFonts w:ascii="標楷體" w:eastAsia="標楷體" w:hAnsi="標楷體" w:hint="eastAsia"/>
                <w:b/>
                <w:bCs/>
                <w:color w:val="000000" w:themeColor="text1"/>
              </w:rPr>
              <w:t>紳</w:t>
            </w:r>
            <w:proofErr w:type="gramEnd"/>
            <w:r>
              <w:rPr>
                <w:rFonts w:ascii="標楷體" w:eastAsia="標楷體" w:hAnsi="標楷體" w:hint="eastAsia"/>
                <w:b/>
                <w:bCs/>
                <w:color w:val="000000" w:themeColor="text1"/>
              </w:rPr>
              <w:t>公司享有、其時實際上並未取得專利權之電池包技術，</w:t>
            </w:r>
            <w:proofErr w:type="gramStart"/>
            <w:r>
              <w:rPr>
                <w:rFonts w:ascii="標楷體" w:eastAsia="標楷體" w:hAnsi="標楷體" w:hint="eastAsia"/>
                <w:b/>
                <w:bCs/>
                <w:color w:val="000000" w:themeColor="text1"/>
              </w:rPr>
              <w:t>佯以</w:t>
            </w:r>
            <w:proofErr w:type="gramEnd"/>
            <w:r>
              <w:rPr>
                <w:rFonts w:ascii="標楷體" w:eastAsia="標楷體" w:hAnsi="標楷體" w:hint="eastAsia"/>
                <w:b/>
                <w:bCs/>
                <w:color w:val="000000" w:themeColor="text1"/>
              </w:rPr>
              <w:t>TPHK公司已取得專利權，再高價授權予</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紳公司使用(即以授權金1億5,000萬元及合約有效期間內每年按銷售淨額支付3％權利金為授權對價)。授權金額第一期款項9,500萬元於契約簽署後3日內即先行支付，用以抵銷TPHK公司原本應償還</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紳公司之前開9,095萬328元債務，餘款部分則另匯款給TPHK公司，致</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紳公司無法收回前開對TPHK公司之債權，加計匯出之餘款，</w:t>
            </w:r>
            <w:proofErr w:type="gramStart"/>
            <w:r>
              <w:rPr>
                <w:rFonts w:ascii="標楷體" w:eastAsia="標楷體" w:hAnsi="標楷體" w:hint="eastAsia"/>
                <w:b/>
                <w:bCs/>
                <w:color w:val="000000" w:themeColor="text1"/>
              </w:rPr>
              <w:t>共受有</w:t>
            </w:r>
            <w:proofErr w:type="gramEnd"/>
            <w:r>
              <w:rPr>
                <w:rFonts w:ascii="標楷體" w:eastAsia="標楷體" w:hAnsi="標楷體" w:hint="eastAsia"/>
                <w:b/>
                <w:bCs/>
                <w:color w:val="000000" w:themeColor="text1"/>
              </w:rPr>
              <w:t>9,500萬元之重大損害。</w:t>
            </w:r>
          </w:p>
        </w:tc>
        <w:tc>
          <w:tcPr>
            <w:tcW w:w="4536" w:type="dxa"/>
            <w:tcBorders>
              <w:top w:val="single" w:sz="4" w:space="0" w:color="auto"/>
              <w:left w:val="single" w:sz="4" w:space="0" w:color="auto"/>
              <w:bottom w:val="single" w:sz="4" w:space="0" w:color="auto"/>
              <w:right w:val="single" w:sz="4" w:space="0" w:color="auto"/>
            </w:tcBorders>
            <w:hideMark/>
          </w:tcPr>
          <w:p w14:paraId="31D9F1FF"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違反公司法第23條董事受託人義務、證券交易法第171條第 1項第2款及第3款等規定，屬執行業務重大損害公司及違反法令之重大事項，應依投保法第10條之1「執行業務重大損害公司之行為或違反法令或章程之重大事項」裁判解任。</w:t>
            </w:r>
          </w:p>
        </w:tc>
      </w:tr>
      <w:tr w:rsidR="00EC0C85" w14:paraId="0C38BA06" w14:textId="77777777" w:rsidTr="00EC0C85">
        <w:tc>
          <w:tcPr>
            <w:tcW w:w="831" w:type="dxa"/>
            <w:tcBorders>
              <w:top w:val="single" w:sz="4" w:space="0" w:color="auto"/>
              <w:left w:val="single" w:sz="4" w:space="0" w:color="auto"/>
              <w:bottom w:val="single" w:sz="4" w:space="0" w:color="auto"/>
              <w:right w:val="single" w:sz="4" w:space="0" w:color="auto"/>
            </w:tcBorders>
            <w:hideMark/>
          </w:tcPr>
          <w:p w14:paraId="69DDD116"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甲四</w:t>
            </w:r>
          </w:p>
        </w:tc>
        <w:tc>
          <w:tcPr>
            <w:tcW w:w="8525" w:type="dxa"/>
            <w:tcBorders>
              <w:top w:val="single" w:sz="4" w:space="0" w:color="auto"/>
              <w:left w:val="single" w:sz="4" w:space="0" w:color="auto"/>
              <w:bottom w:val="single" w:sz="4" w:space="0" w:color="auto"/>
              <w:right w:val="single" w:sz="4" w:space="0" w:color="auto"/>
            </w:tcBorders>
            <w:hideMark/>
          </w:tcPr>
          <w:p w14:paraId="7DAB2D94"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雙門</w:t>
            </w:r>
            <w:proofErr w:type="gramStart"/>
            <w:r>
              <w:rPr>
                <w:rFonts w:ascii="標楷體" w:eastAsia="標楷體" w:hAnsi="標楷體" w:hint="eastAsia"/>
                <w:b/>
                <w:bCs/>
                <w:color w:val="000000" w:themeColor="text1"/>
              </w:rPr>
              <w:t>電動轎</w:t>
            </w:r>
            <w:proofErr w:type="gramEnd"/>
            <w:r>
              <w:rPr>
                <w:rFonts w:ascii="標楷體" w:eastAsia="標楷體" w:hAnsi="標楷體" w:hint="eastAsia"/>
                <w:b/>
                <w:bCs/>
                <w:color w:val="000000" w:themeColor="text1"/>
              </w:rPr>
              <w:t>跑車交易案：</w:t>
            </w:r>
          </w:p>
          <w:p w14:paraId="2B0078E2"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沈瑋及陳明煒明知TPHK公司並無生產雙門</w:t>
            </w:r>
            <w:proofErr w:type="gramStart"/>
            <w:r>
              <w:rPr>
                <w:rFonts w:ascii="標楷體" w:eastAsia="標楷體" w:hAnsi="標楷體" w:hint="eastAsia"/>
                <w:b/>
                <w:bCs/>
                <w:color w:val="000000" w:themeColor="text1"/>
              </w:rPr>
              <w:t>電動轎</w:t>
            </w:r>
            <w:proofErr w:type="gramEnd"/>
            <w:r>
              <w:rPr>
                <w:rFonts w:ascii="標楷體" w:eastAsia="標楷體" w:hAnsi="標楷體" w:hint="eastAsia"/>
                <w:b/>
                <w:bCs/>
                <w:color w:val="000000" w:themeColor="text1"/>
              </w:rPr>
              <w:t>跑車之能力，卻未充分揭露該等資訊，共同主導EPTI公司與TPHK公司簽訂「自始不能」且「重大不利」之獨家代理契約，並違反106年8月10日董事會之決議結果而</w:t>
            </w:r>
            <w:proofErr w:type="gramStart"/>
            <w:r>
              <w:rPr>
                <w:rFonts w:ascii="標楷體" w:eastAsia="標楷體" w:hAnsi="標楷體" w:hint="eastAsia"/>
                <w:b/>
                <w:bCs/>
                <w:color w:val="000000" w:themeColor="text1"/>
              </w:rPr>
              <w:t>逕</w:t>
            </w:r>
            <w:proofErr w:type="gramEnd"/>
            <w:r>
              <w:rPr>
                <w:rFonts w:ascii="標楷體" w:eastAsia="標楷體" w:hAnsi="標楷體" w:hint="eastAsia"/>
                <w:b/>
                <w:bCs/>
                <w:color w:val="000000" w:themeColor="text1"/>
              </w:rPr>
              <w:t>於106年8月16日與TPHK公司簽訂系爭獨家代理契約，再於106年8月25日董事會違反公司法有關表決迴避之規定，使</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紳公司未經實質討論及決議即簽訂系爭獨家代理契約，EPTI公司為此支付TPHK公司定金美元495萬元(</w:t>
            </w:r>
            <w:proofErr w:type="gramStart"/>
            <w:r>
              <w:rPr>
                <w:rFonts w:ascii="標楷體" w:eastAsia="標楷體" w:hAnsi="標楷體" w:hint="eastAsia"/>
                <w:b/>
                <w:bCs/>
                <w:color w:val="000000" w:themeColor="text1"/>
              </w:rPr>
              <w:t>折合約新臺幣</w:t>
            </w:r>
            <w:proofErr w:type="gramEnd"/>
            <w:r>
              <w:rPr>
                <w:rFonts w:ascii="標楷體" w:eastAsia="標楷體" w:hAnsi="標楷體" w:hint="eastAsia"/>
                <w:b/>
                <w:bCs/>
                <w:color w:val="000000" w:themeColor="text1"/>
              </w:rPr>
              <w:t>1億4,000萬元)，致</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紳公司受有1億4,000萬元以及變相資金貸與之利息等重大損害。</w:t>
            </w:r>
          </w:p>
        </w:tc>
        <w:tc>
          <w:tcPr>
            <w:tcW w:w="4536" w:type="dxa"/>
            <w:tcBorders>
              <w:top w:val="single" w:sz="4" w:space="0" w:color="auto"/>
              <w:left w:val="single" w:sz="4" w:space="0" w:color="auto"/>
              <w:bottom w:val="single" w:sz="4" w:space="0" w:color="auto"/>
              <w:right w:val="single" w:sz="4" w:space="0" w:color="auto"/>
            </w:tcBorders>
            <w:hideMark/>
          </w:tcPr>
          <w:p w14:paraId="4C2A4227"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違反公司法第23條董事受託人義務、證券交易法第171條第1項第2款及第3款等規定，屬執行業務重大損害公司及違反法令之重大事項，應依投保法第10條之1「執行業務重大損害公司之行為或違反法令或章程之重大事項」裁判解任。</w:t>
            </w:r>
          </w:p>
        </w:tc>
      </w:tr>
      <w:tr w:rsidR="00EC0C85" w14:paraId="1A338A5D" w14:textId="77777777" w:rsidTr="00EC0C85">
        <w:tc>
          <w:tcPr>
            <w:tcW w:w="831" w:type="dxa"/>
            <w:tcBorders>
              <w:top w:val="single" w:sz="4" w:space="0" w:color="auto"/>
              <w:left w:val="single" w:sz="4" w:space="0" w:color="auto"/>
              <w:bottom w:val="single" w:sz="4" w:space="0" w:color="auto"/>
              <w:right w:val="single" w:sz="4" w:space="0" w:color="auto"/>
            </w:tcBorders>
            <w:hideMark/>
          </w:tcPr>
          <w:p w14:paraId="77452236"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甲五</w:t>
            </w:r>
          </w:p>
        </w:tc>
        <w:tc>
          <w:tcPr>
            <w:tcW w:w="8525" w:type="dxa"/>
            <w:tcBorders>
              <w:top w:val="single" w:sz="4" w:space="0" w:color="auto"/>
              <w:left w:val="single" w:sz="4" w:space="0" w:color="auto"/>
              <w:bottom w:val="single" w:sz="4" w:space="0" w:color="auto"/>
              <w:right w:val="single" w:sz="4" w:space="0" w:color="auto"/>
            </w:tcBorders>
            <w:hideMark/>
          </w:tcPr>
          <w:p w14:paraId="323E6E00"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四門電動房車零部件交易案：</w:t>
            </w:r>
          </w:p>
          <w:p w14:paraId="200EBD8F"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沈瑋於安排系爭獨家代理契約後，因TPHK公司實際上未交付任何雙門</w:t>
            </w:r>
            <w:proofErr w:type="gramStart"/>
            <w:r>
              <w:rPr>
                <w:rFonts w:ascii="標楷體" w:eastAsia="標楷體" w:hAnsi="標楷體" w:hint="eastAsia"/>
                <w:b/>
                <w:bCs/>
                <w:color w:val="000000" w:themeColor="text1"/>
              </w:rPr>
              <w:t>電動轎</w:t>
            </w:r>
            <w:proofErr w:type="gramEnd"/>
            <w:r>
              <w:rPr>
                <w:rFonts w:ascii="標楷體" w:eastAsia="標楷體" w:hAnsi="標楷體" w:hint="eastAsia"/>
                <w:b/>
                <w:bCs/>
                <w:color w:val="000000" w:themeColor="text1"/>
              </w:rPr>
              <w:t>跑車，</w:t>
            </w:r>
            <w:proofErr w:type="gramStart"/>
            <w:r>
              <w:rPr>
                <w:rFonts w:ascii="標楷體" w:eastAsia="標楷體" w:hAnsi="標楷體" w:hint="eastAsia"/>
                <w:b/>
                <w:bCs/>
                <w:color w:val="000000" w:themeColor="text1"/>
              </w:rPr>
              <w:t>經櫃買</w:t>
            </w:r>
            <w:proofErr w:type="gramEnd"/>
            <w:r>
              <w:rPr>
                <w:rFonts w:ascii="標楷體" w:eastAsia="標楷體" w:hAnsi="標楷體" w:hint="eastAsia"/>
                <w:b/>
                <w:bCs/>
                <w:color w:val="000000" w:themeColor="text1"/>
              </w:rPr>
              <w:t>中心一再詢問，沈瑋遂於</w:t>
            </w:r>
            <w:proofErr w:type="gramStart"/>
            <w:r>
              <w:rPr>
                <w:rFonts w:ascii="標楷體" w:eastAsia="標楷體" w:hAnsi="標楷體" w:hint="eastAsia"/>
                <w:b/>
                <w:bCs/>
                <w:color w:val="000000" w:themeColor="text1"/>
              </w:rPr>
              <w:t>108年4月間先假意</w:t>
            </w:r>
            <w:proofErr w:type="gramEnd"/>
            <w:r>
              <w:rPr>
                <w:rFonts w:ascii="標楷體" w:eastAsia="標楷體" w:hAnsi="標楷體" w:hint="eastAsia"/>
                <w:b/>
                <w:bCs/>
                <w:color w:val="000000" w:themeColor="text1"/>
              </w:rPr>
              <w:t>安排終止前開與TPHK公司間之系爭獨家代理合約，</w:t>
            </w:r>
            <w:proofErr w:type="gramStart"/>
            <w:r>
              <w:rPr>
                <w:rFonts w:ascii="標楷體" w:eastAsia="標楷體" w:hAnsi="標楷體" w:hint="eastAsia"/>
                <w:b/>
                <w:bCs/>
                <w:color w:val="000000" w:themeColor="text1"/>
              </w:rPr>
              <w:t>佯以</w:t>
            </w:r>
            <w:proofErr w:type="gramEnd"/>
            <w:r>
              <w:rPr>
                <w:rFonts w:ascii="標楷體" w:eastAsia="標楷體" w:hAnsi="標楷體" w:hint="eastAsia"/>
                <w:b/>
                <w:bCs/>
                <w:color w:val="000000" w:themeColor="text1"/>
              </w:rPr>
              <w:t>TPHK公司將返還前開定金，惟同時夥同</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紳公司董事陳明煒、秦禮明、葉佳萍及獨立董事黃文瑞假以安排TPHK公司與</w:t>
            </w:r>
            <w:r>
              <w:rPr>
                <w:rFonts w:ascii="標楷體" w:eastAsia="標楷體" w:hAnsi="標楷體" w:hint="eastAsia"/>
                <w:b/>
                <w:bCs/>
                <w:color w:val="000000" w:themeColor="text1"/>
              </w:rPr>
              <w:lastRenderedPageBreak/>
              <w:t>EPTI公司間虛假之不合營業常規且</w:t>
            </w:r>
            <w:proofErr w:type="gramStart"/>
            <w:r>
              <w:rPr>
                <w:rFonts w:ascii="標楷體" w:eastAsia="標楷體" w:hAnsi="標楷體" w:hint="eastAsia"/>
                <w:b/>
                <w:bCs/>
                <w:color w:val="000000" w:themeColor="text1"/>
              </w:rPr>
              <w:t>不</w:t>
            </w:r>
            <w:proofErr w:type="gramEnd"/>
            <w:r>
              <w:rPr>
                <w:rFonts w:ascii="標楷體" w:eastAsia="標楷體" w:hAnsi="標楷體" w:hint="eastAsia"/>
                <w:b/>
                <w:bCs/>
                <w:color w:val="000000" w:themeColor="text1"/>
              </w:rPr>
              <w:t>利益之「四門電動房車零部件採購合約」交易，用以抵銷TPHK公司應返還款項予EPTI公司之債務，使TPHK公司實際上免除絕大部分應歸還之定金數額。沈瑋及配合之陳明煒、秦禮明、葉佳萍、黃文瑞等人透過上開不合營業常規且</w:t>
            </w:r>
            <w:proofErr w:type="gramStart"/>
            <w:r>
              <w:rPr>
                <w:rFonts w:ascii="標楷體" w:eastAsia="標楷體" w:hAnsi="標楷體" w:hint="eastAsia"/>
                <w:b/>
                <w:bCs/>
                <w:color w:val="000000" w:themeColor="text1"/>
              </w:rPr>
              <w:t>不</w:t>
            </w:r>
            <w:proofErr w:type="gramEnd"/>
            <w:r>
              <w:rPr>
                <w:rFonts w:ascii="標楷體" w:eastAsia="標楷體" w:hAnsi="標楷體" w:hint="eastAsia"/>
                <w:b/>
                <w:bCs/>
                <w:color w:val="000000" w:themeColor="text1"/>
              </w:rPr>
              <w:t>利益之交易，致EPTI公司喪失本可取得之美元448萬元(折合新臺幣約1億3,440萬元)，使100％持股EPTI公司之</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紳公司受有1億3,440萬元以及變相資金貸與之利息等重大損害。沈瑋、陳明煒、黃文瑞明知系爭零部件採購合約僅係為延續不法事實甲四所涉之系爭獨家代理契約，卻共同主導、配合</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紳公司董事會通過系爭獨家代理契約議案，並於108年4月9日董事會違反公司法有關表決迴避之規定，使</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紳公司未經實質討論即決議通過系爭零部件採購合約，致EPTI公司喪失本可取得之美元448萬元(折合新臺幣約1億3,440萬元)，致</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紳公司受有1億3,440萬元以及變相資金貸與之利息等重大損害。</w:t>
            </w:r>
          </w:p>
        </w:tc>
        <w:tc>
          <w:tcPr>
            <w:tcW w:w="4536" w:type="dxa"/>
            <w:tcBorders>
              <w:top w:val="single" w:sz="4" w:space="0" w:color="auto"/>
              <w:left w:val="single" w:sz="4" w:space="0" w:color="auto"/>
              <w:bottom w:val="single" w:sz="4" w:space="0" w:color="auto"/>
              <w:right w:val="single" w:sz="4" w:space="0" w:color="auto"/>
            </w:tcBorders>
            <w:hideMark/>
          </w:tcPr>
          <w:p w14:paraId="708ADC55"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lastRenderedPageBreak/>
              <w:t>違反公司法第23條董事受託人義務、證券交易法第171條第1項第2款及第3款等規定，屬執行業務重大損害公司及違反法令之重大事項，應依投保法第10條之1「執行業務重大損害公司之行為或</w:t>
            </w:r>
            <w:r>
              <w:rPr>
                <w:rFonts w:ascii="標楷體" w:eastAsia="標楷體" w:hAnsi="標楷體" w:hint="eastAsia"/>
                <w:b/>
                <w:bCs/>
                <w:color w:val="000000" w:themeColor="text1"/>
              </w:rPr>
              <w:lastRenderedPageBreak/>
              <w:t>違反法令或章程之重大事項」裁判解任。</w:t>
            </w:r>
          </w:p>
        </w:tc>
      </w:tr>
      <w:tr w:rsidR="00EC0C85" w14:paraId="2020A504" w14:textId="77777777" w:rsidTr="00EC0C85">
        <w:tc>
          <w:tcPr>
            <w:tcW w:w="83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64FD166"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lastRenderedPageBreak/>
              <w:t>甲六</w:t>
            </w:r>
          </w:p>
        </w:tc>
        <w:tc>
          <w:tcPr>
            <w:tcW w:w="8525"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F21180F" w14:textId="77777777" w:rsidR="00EC0C85" w:rsidRDefault="00EC0C85">
            <w:pPr>
              <w:rPr>
                <w:rFonts w:ascii="標楷體" w:eastAsia="標楷體" w:hAnsi="標楷體"/>
                <w:b/>
                <w:bCs/>
                <w:color w:val="000000" w:themeColor="text1"/>
              </w:rPr>
            </w:pPr>
            <w:proofErr w:type="gramStart"/>
            <w:r>
              <w:rPr>
                <w:rFonts w:ascii="標楷體" w:eastAsia="標楷體" w:hAnsi="標楷體" w:hint="eastAsia"/>
                <w:b/>
                <w:bCs/>
                <w:color w:val="000000" w:themeColor="text1"/>
              </w:rPr>
              <w:t>祥芳購</w:t>
            </w:r>
            <w:proofErr w:type="gramEnd"/>
            <w:r>
              <w:rPr>
                <w:rFonts w:ascii="標楷體" w:eastAsia="標楷體" w:hAnsi="標楷體" w:hint="eastAsia"/>
                <w:b/>
                <w:bCs/>
                <w:color w:val="000000" w:themeColor="text1"/>
              </w:rPr>
              <w:t>地案：</w:t>
            </w:r>
          </w:p>
          <w:p w14:paraId="33A4E7C5" w14:textId="77777777" w:rsidR="00EC0C85" w:rsidRDefault="00EC0C85" w:rsidP="00EC0C85">
            <w:pPr>
              <w:pStyle w:val="ac"/>
              <w:numPr>
                <w:ilvl w:val="0"/>
                <w:numId w:val="2"/>
              </w:numPr>
              <w:ind w:leftChars="0"/>
              <w:rPr>
                <w:rFonts w:ascii="標楷體" w:eastAsia="標楷體" w:hAnsi="標楷體"/>
                <w:b/>
                <w:bCs/>
                <w:color w:val="000000" w:themeColor="text1"/>
              </w:rPr>
            </w:pPr>
            <w:r>
              <w:rPr>
                <w:rFonts w:ascii="標楷體" w:eastAsia="標楷體" w:hAnsi="標楷體" w:hint="eastAsia"/>
                <w:b/>
                <w:bCs/>
                <w:color w:val="000000" w:themeColor="text1"/>
              </w:rPr>
              <w:t>沈瑋100%持有之</w:t>
            </w:r>
            <w:proofErr w:type="gramStart"/>
            <w:r>
              <w:rPr>
                <w:rFonts w:ascii="標楷體" w:eastAsia="標楷體" w:hAnsi="標楷體" w:hint="eastAsia"/>
                <w:b/>
                <w:bCs/>
                <w:color w:val="000000" w:themeColor="text1"/>
              </w:rPr>
              <w:t>祥</w:t>
            </w:r>
            <w:proofErr w:type="gramEnd"/>
            <w:r>
              <w:rPr>
                <w:rFonts w:ascii="標楷體" w:eastAsia="標楷體" w:hAnsi="標楷體" w:hint="eastAsia"/>
                <w:b/>
                <w:bCs/>
                <w:color w:val="000000" w:themeColor="text1"/>
              </w:rPr>
              <w:t>芳公司持有桃園市觀音</w:t>
            </w:r>
            <w:proofErr w:type="gramStart"/>
            <w:r>
              <w:rPr>
                <w:rFonts w:ascii="標楷體" w:eastAsia="標楷體" w:hAnsi="標楷體" w:hint="eastAsia"/>
                <w:b/>
                <w:bCs/>
                <w:color w:val="000000" w:themeColor="text1"/>
              </w:rPr>
              <w:t>區觀玉段</w:t>
            </w:r>
            <w:proofErr w:type="gramEnd"/>
            <w:r>
              <w:rPr>
                <w:rFonts w:ascii="標楷體" w:eastAsia="標楷體" w:hAnsi="標楷體" w:hint="eastAsia"/>
                <w:b/>
                <w:bCs/>
                <w:color w:val="000000" w:themeColor="text1"/>
              </w:rPr>
              <w:t>88地號（下稱系爭88地號土地）加油站用地，該地除非地目可以變更為「工業用地」，否則不符合</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紳公司要蓋廠房的用途，但為圖利沈瑋，在沈瑋之主導下，先於106年6月9日由</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紳公司與</w:t>
            </w:r>
            <w:proofErr w:type="gramStart"/>
            <w:r>
              <w:rPr>
                <w:rFonts w:ascii="標楷體" w:eastAsia="標楷體" w:hAnsi="標楷體" w:hint="eastAsia"/>
                <w:b/>
                <w:bCs/>
                <w:color w:val="000000" w:themeColor="text1"/>
              </w:rPr>
              <w:t>祥</w:t>
            </w:r>
            <w:proofErr w:type="gramEnd"/>
            <w:r>
              <w:rPr>
                <w:rFonts w:ascii="標楷體" w:eastAsia="標楷體" w:hAnsi="標楷體" w:hint="eastAsia"/>
                <w:b/>
                <w:bCs/>
                <w:color w:val="000000" w:themeColor="text1"/>
              </w:rPr>
              <w:t>芳公司簽訂不動產買賣契約，由</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紳公司以22,392,000元向祥芳公司購買系爭88地號土地，並約定應將地目變更為工業用地，地目變更費用由</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紳公司負擔，並且約定若107年6月30日前將地目變更成「工業用地」，則</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紳公司需再負擔重新</w:t>
            </w:r>
            <w:proofErr w:type="gramStart"/>
            <w:r>
              <w:rPr>
                <w:rFonts w:ascii="標楷體" w:eastAsia="標楷體" w:hAnsi="標楷體" w:hint="eastAsia"/>
                <w:b/>
                <w:bCs/>
                <w:color w:val="000000" w:themeColor="text1"/>
              </w:rPr>
              <w:t>鑑</w:t>
            </w:r>
            <w:proofErr w:type="gramEnd"/>
            <w:r>
              <w:rPr>
                <w:rFonts w:ascii="標楷體" w:eastAsia="標楷體" w:hAnsi="標楷體" w:hint="eastAsia"/>
                <w:b/>
                <w:bCs/>
                <w:color w:val="000000" w:themeColor="text1"/>
              </w:rPr>
              <w:t>價費用，並將變更地目後之</w:t>
            </w:r>
            <w:proofErr w:type="gramStart"/>
            <w:r>
              <w:rPr>
                <w:rFonts w:ascii="標楷體" w:eastAsia="標楷體" w:hAnsi="標楷體" w:hint="eastAsia"/>
                <w:b/>
                <w:bCs/>
                <w:color w:val="000000" w:themeColor="text1"/>
              </w:rPr>
              <w:t>鑑</w:t>
            </w:r>
            <w:proofErr w:type="gramEnd"/>
            <w:r>
              <w:rPr>
                <w:rFonts w:ascii="標楷體" w:eastAsia="標楷體" w:hAnsi="標楷體" w:hint="eastAsia"/>
                <w:b/>
                <w:bCs/>
                <w:color w:val="000000" w:themeColor="text1"/>
              </w:rPr>
              <w:t>價金額與上開買賣價金22,392,000元間之價差補給</w:t>
            </w:r>
            <w:proofErr w:type="gramStart"/>
            <w:r>
              <w:rPr>
                <w:rFonts w:ascii="標楷體" w:eastAsia="標楷體" w:hAnsi="標楷體" w:hint="eastAsia"/>
                <w:b/>
                <w:bCs/>
                <w:color w:val="000000" w:themeColor="text1"/>
              </w:rPr>
              <w:t>祥</w:t>
            </w:r>
            <w:proofErr w:type="gramEnd"/>
            <w:r>
              <w:rPr>
                <w:rFonts w:ascii="標楷體" w:eastAsia="標楷體" w:hAnsi="標楷體" w:hint="eastAsia"/>
                <w:b/>
                <w:bCs/>
                <w:color w:val="000000" w:themeColor="text1"/>
              </w:rPr>
              <w:t>芳公司。上開條款顯不符營業常規，且不利於</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紳公司，並違反公開發行公司取得或處分資產處理準則第14條第1項規定，除未提供評估交易條件合理性及必要性等相關資料予董事會作為決策依據外，有關系爭土地交易之不利條款係由沈瑋指示制定，董事會</w:t>
            </w:r>
            <w:proofErr w:type="gramStart"/>
            <w:r>
              <w:rPr>
                <w:rFonts w:ascii="標楷體" w:eastAsia="標楷體" w:hAnsi="標楷體" w:hint="eastAsia"/>
                <w:b/>
                <w:bCs/>
                <w:color w:val="000000" w:themeColor="text1"/>
              </w:rPr>
              <w:t>對於系</w:t>
            </w:r>
            <w:proofErr w:type="gramEnd"/>
            <w:r>
              <w:rPr>
                <w:rFonts w:ascii="標楷體" w:eastAsia="標楷體" w:hAnsi="標楷體" w:hint="eastAsia"/>
                <w:b/>
                <w:bCs/>
                <w:color w:val="000000" w:themeColor="text1"/>
              </w:rPr>
              <w:t>爭</w:t>
            </w:r>
            <w:r>
              <w:rPr>
                <w:rFonts w:ascii="標楷體" w:eastAsia="標楷體" w:hAnsi="標楷體" w:hint="eastAsia"/>
                <w:b/>
                <w:bCs/>
                <w:color w:val="000000" w:themeColor="text1"/>
              </w:rPr>
              <w:lastRenderedPageBreak/>
              <w:t>土地買賣契約內容及交易條件並無實質討論。又該土地交易雖經106年6月2日股東會通過，</w:t>
            </w:r>
            <w:proofErr w:type="gramStart"/>
            <w:r>
              <w:rPr>
                <w:rFonts w:ascii="標楷體" w:eastAsia="標楷體" w:hAnsi="標楷體" w:hint="eastAsia"/>
                <w:b/>
                <w:bCs/>
                <w:color w:val="000000" w:themeColor="text1"/>
              </w:rPr>
              <w:t>惟係以</w:t>
            </w:r>
            <w:proofErr w:type="gramEnd"/>
            <w:r>
              <w:rPr>
                <w:rFonts w:ascii="標楷體" w:eastAsia="標楷體" w:hAnsi="標楷體" w:hint="eastAsia"/>
                <w:b/>
                <w:bCs/>
                <w:color w:val="000000" w:themeColor="text1"/>
              </w:rPr>
              <w:t>「臨時動議」提出，且隱匿系爭88地號土地交易之不利締約條件，使股東無法充分討論評估交易之合理性及必要性而通過議案，有違忠實義務而違背其職務。沈瑋於淳紳公司與</w:t>
            </w:r>
            <w:proofErr w:type="gramStart"/>
            <w:r>
              <w:rPr>
                <w:rFonts w:ascii="標楷體" w:eastAsia="標楷體" w:hAnsi="標楷體" w:hint="eastAsia"/>
                <w:b/>
                <w:bCs/>
                <w:color w:val="000000" w:themeColor="text1"/>
              </w:rPr>
              <w:t>祥</w:t>
            </w:r>
            <w:proofErr w:type="gramEnd"/>
            <w:r>
              <w:rPr>
                <w:rFonts w:ascii="標楷體" w:eastAsia="標楷體" w:hAnsi="標楷體" w:hint="eastAsia"/>
                <w:b/>
                <w:bCs/>
                <w:color w:val="000000" w:themeColor="text1"/>
              </w:rPr>
              <w:t>芳公司購地交易過程中，為自己私人</w:t>
            </w:r>
            <w:proofErr w:type="gramStart"/>
            <w:r>
              <w:rPr>
                <w:rFonts w:ascii="標楷體" w:eastAsia="標楷體" w:hAnsi="標楷體" w:hint="eastAsia"/>
                <w:b/>
                <w:bCs/>
                <w:color w:val="000000" w:themeColor="text1"/>
              </w:rPr>
              <w:t>祥</w:t>
            </w:r>
            <w:proofErr w:type="gramEnd"/>
            <w:r>
              <w:rPr>
                <w:rFonts w:ascii="標楷體" w:eastAsia="標楷體" w:hAnsi="標楷體" w:hint="eastAsia"/>
                <w:b/>
                <w:bCs/>
                <w:color w:val="000000" w:themeColor="text1"/>
              </w:rPr>
              <w:t>芳公司之不法利益，未忠實執行職務，使</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紳公司簽訂含有不利條款之不動產買賣契約，不當輸送利益予</w:t>
            </w:r>
            <w:proofErr w:type="gramStart"/>
            <w:r>
              <w:rPr>
                <w:rFonts w:ascii="標楷體" w:eastAsia="標楷體" w:hAnsi="標楷體" w:hint="eastAsia"/>
                <w:b/>
                <w:bCs/>
                <w:color w:val="000000" w:themeColor="text1"/>
              </w:rPr>
              <w:t>祥</w:t>
            </w:r>
            <w:proofErr w:type="gramEnd"/>
            <w:r>
              <w:rPr>
                <w:rFonts w:ascii="標楷體" w:eastAsia="標楷體" w:hAnsi="標楷體" w:hint="eastAsia"/>
                <w:b/>
                <w:bCs/>
                <w:color w:val="000000" w:themeColor="text1"/>
              </w:rPr>
              <w:t>芳公司，構成刑法第342條之背信罪。</w:t>
            </w:r>
          </w:p>
          <w:p w14:paraId="585C2ED5" w14:textId="77777777" w:rsidR="00EC0C85" w:rsidRDefault="00EC0C85">
            <w:pPr>
              <w:ind w:left="721" w:hangingChars="300" w:hanging="721"/>
              <w:rPr>
                <w:rFonts w:ascii="標楷體" w:eastAsia="標楷體" w:hAnsi="標楷體"/>
                <w:b/>
                <w:bCs/>
                <w:color w:val="000000" w:themeColor="text1"/>
              </w:rPr>
            </w:pPr>
            <w:r>
              <w:rPr>
                <w:rFonts w:ascii="標楷體" w:eastAsia="標楷體" w:hAnsi="標楷體" w:hint="eastAsia"/>
                <w:b/>
                <w:bCs/>
                <w:color w:val="000000" w:themeColor="text1"/>
              </w:rPr>
              <w:t>（二）沈瑋眼見107年6月30日未能達成約定內容，竟於107年6月29日召開臨時董事會，修改契約內容，將【107年6月30日變更期限及變更地目標準「工業用地」】刪除，最終造成</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紳依照新契約內容給付土地增值價差利益予</w:t>
            </w:r>
            <w:proofErr w:type="gramStart"/>
            <w:r>
              <w:rPr>
                <w:rFonts w:ascii="標楷體" w:eastAsia="標楷體" w:hAnsi="標楷體" w:hint="eastAsia"/>
                <w:b/>
                <w:bCs/>
                <w:color w:val="000000" w:themeColor="text1"/>
              </w:rPr>
              <w:t>祥</w:t>
            </w:r>
            <w:proofErr w:type="gramEnd"/>
            <w:r>
              <w:rPr>
                <w:rFonts w:ascii="標楷體" w:eastAsia="標楷體" w:hAnsi="標楷體" w:hint="eastAsia"/>
                <w:b/>
                <w:bCs/>
                <w:color w:val="000000" w:themeColor="text1"/>
              </w:rPr>
              <w:t>芳公司，致</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紳公司受有損害10,748,267元。陳明煒及黃文瑞應明知沈瑋指示刪除原不動產買賣合約中限制變更完成之日期及變更地目種類條款係</w:t>
            </w:r>
            <w:proofErr w:type="gramStart"/>
            <w:r>
              <w:rPr>
                <w:rFonts w:ascii="標楷體" w:eastAsia="標楷體" w:hAnsi="標楷體" w:hint="eastAsia"/>
                <w:b/>
                <w:bCs/>
                <w:color w:val="000000" w:themeColor="text1"/>
              </w:rPr>
              <w:t>不</w:t>
            </w:r>
            <w:proofErr w:type="gramEnd"/>
            <w:r>
              <w:rPr>
                <w:rFonts w:ascii="標楷體" w:eastAsia="標楷體" w:hAnsi="標楷體" w:hint="eastAsia"/>
                <w:b/>
                <w:bCs/>
                <w:color w:val="000000" w:themeColor="text1"/>
              </w:rPr>
              <w:t>利益於淳紳公司之交易條件，惟其等仍於107年6月29日臨時召開之董事會中聽命、配合沈瑋</w:t>
            </w:r>
            <w:proofErr w:type="gramStart"/>
            <w:r>
              <w:rPr>
                <w:rFonts w:ascii="標楷體" w:eastAsia="標楷體" w:hAnsi="標楷體" w:hint="eastAsia"/>
                <w:b/>
                <w:bCs/>
                <w:color w:val="000000" w:themeColor="text1"/>
              </w:rPr>
              <w:t>逕</w:t>
            </w:r>
            <w:proofErr w:type="gramEnd"/>
            <w:r>
              <w:rPr>
                <w:rFonts w:ascii="標楷體" w:eastAsia="標楷體" w:hAnsi="標楷體" w:hint="eastAsia"/>
                <w:b/>
                <w:bCs/>
                <w:color w:val="000000" w:themeColor="text1"/>
              </w:rPr>
              <w:t>予配合通過該議案。</w:t>
            </w:r>
          </w:p>
        </w:tc>
        <w:tc>
          <w:tcPr>
            <w:tcW w:w="4536" w:type="dxa"/>
            <w:tcBorders>
              <w:top w:val="single" w:sz="4" w:space="0" w:color="auto"/>
              <w:left w:val="single" w:sz="4" w:space="0" w:color="auto"/>
              <w:bottom w:val="single" w:sz="4" w:space="0" w:color="auto"/>
              <w:right w:val="single" w:sz="4" w:space="0" w:color="auto"/>
            </w:tcBorders>
            <w:hideMark/>
          </w:tcPr>
          <w:p w14:paraId="637D790B"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lastRenderedPageBreak/>
              <w:t>（一）構成刑法第342條背信罪，應依投保法第10條之1「執行業務重大損害公司之行為或違反法令或章程之重大事項」裁判解任。</w:t>
            </w:r>
          </w:p>
          <w:p w14:paraId="5F9988C4"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（二）構成證券交易法第171條第1項第2、3款使公司為</w:t>
            </w:r>
            <w:proofErr w:type="gramStart"/>
            <w:r>
              <w:rPr>
                <w:rFonts w:ascii="標楷體" w:eastAsia="標楷體" w:hAnsi="標楷體" w:hint="eastAsia"/>
                <w:b/>
                <w:bCs/>
                <w:color w:val="000000" w:themeColor="text1"/>
              </w:rPr>
              <w:t>不</w:t>
            </w:r>
            <w:proofErr w:type="gramEnd"/>
            <w:r>
              <w:rPr>
                <w:rFonts w:ascii="標楷體" w:eastAsia="標楷體" w:hAnsi="標楷體" w:hint="eastAsia"/>
                <w:b/>
                <w:bCs/>
                <w:color w:val="000000" w:themeColor="text1"/>
              </w:rPr>
              <w:t>利益交易及特別背信罪，顯已符合「執行業務重大損害公司之行為或違反法令或章程之重大事項」之解任事由。</w:t>
            </w:r>
          </w:p>
        </w:tc>
      </w:tr>
      <w:tr w:rsidR="00EC0C85" w14:paraId="610E953B" w14:textId="77777777" w:rsidTr="00EC0C85">
        <w:tc>
          <w:tcPr>
            <w:tcW w:w="83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F674DD1"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甲七</w:t>
            </w:r>
          </w:p>
        </w:tc>
        <w:tc>
          <w:tcPr>
            <w:tcW w:w="8525"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92109B7"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（一）108年間EPTI公司發放20萬美元獎金：</w:t>
            </w:r>
          </w:p>
          <w:p w14:paraId="637E938F"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沈瑋於108年間濫用EPTI公司不受</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紳公司薪酬委員會監督之特性，假借與EPTI公司業務無涉之形式上理由，濫用權限使EPTI公司分別於108年7月17日、同年10月1日發放美金15萬元、5萬元之獎金予自己，核該獎金究係依據沈瑋何</w:t>
            </w:r>
            <w:proofErr w:type="gramStart"/>
            <w:r>
              <w:rPr>
                <w:rFonts w:ascii="標楷體" w:eastAsia="標楷體" w:hAnsi="標楷體" w:hint="eastAsia"/>
                <w:b/>
                <w:bCs/>
                <w:color w:val="000000" w:themeColor="text1"/>
              </w:rPr>
              <w:t>一</w:t>
            </w:r>
            <w:proofErr w:type="gramEnd"/>
            <w:r>
              <w:rPr>
                <w:rFonts w:ascii="標楷體" w:eastAsia="標楷體" w:hAnsi="標楷體" w:hint="eastAsia"/>
                <w:b/>
                <w:bCs/>
                <w:color w:val="000000" w:themeColor="text1"/>
              </w:rPr>
              <w:t>具體之實質貢獻、如何計算發放上開特別奬金之金額及依據為何，在發放奬金前均付之闕如，又EPTI公司之董事會僅有沈瑋一人董事，形同任由沈瑋恣意決定發放予自己之奬金數額，實係對於有利害衝突之事項未予迴避，顯係濫用商業判斷權限，使EPTI公司受有美金20萬元之損害。</w:t>
            </w:r>
          </w:p>
          <w:p w14:paraId="09EFCC3D"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（二）109年</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紳公司發放600萬元獎金：</w:t>
            </w:r>
          </w:p>
          <w:p w14:paraId="4F7AFA3B" w14:textId="77777777" w:rsidR="00EC0C85" w:rsidRDefault="00EC0C85">
            <w:pPr>
              <w:rPr>
                <w:rFonts w:ascii="標楷體" w:eastAsia="標楷體" w:hAnsi="標楷體"/>
                <w:b/>
                <w:bCs/>
                <w:color w:val="000000" w:themeColor="text1"/>
              </w:rPr>
            </w:pP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紳公司於109年間仍處於虧損、財務困難狀態，沈瑋卻仍為自己不法利益，違反董事忠實義務及</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紳公司章程規定，以對</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紳公司105年及108年出售桃</w:t>
            </w:r>
            <w:r>
              <w:rPr>
                <w:rFonts w:ascii="標楷體" w:eastAsia="標楷體" w:hAnsi="標楷體" w:hint="eastAsia"/>
                <w:b/>
                <w:bCs/>
                <w:color w:val="000000" w:themeColor="text1"/>
              </w:rPr>
              <w:lastRenderedPageBreak/>
              <w:t>園觀音區土地有功為由，於109年4月28日董事會通過發放600萬元獎金予自己；而陳明煒配合沈瑋指示，</w:t>
            </w:r>
            <w:proofErr w:type="gramStart"/>
            <w:r>
              <w:rPr>
                <w:rFonts w:ascii="標楷體" w:eastAsia="標楷體" w:hAnsi="標楷體" w:hint="eastAsia"/>
                <w:b/>
                <w:bCs/>
                <w:color w:val="000000" w:themeColor="text1"/>
              </w:rPr>
              <w:t>不</w:t>
            </w:r>
            <w:proofErr w:type="gramEnd"/>
            <w:r>
              <w:rPr>
                <w:rFonts w:ascii="標楷體" w:eastAsia="標楷體" w:hAnsi="標楷體" w:hint="eastAsia"/>
                <w:b/>
                <w:bCs/>
                <w:color w:val="000000" w:themeColor="text1"/>
              </w:rPr>
              <w:t>於董事會上表示反對意見；黃文瑞明知系爭獎金發放不合理，卻仍配合沈瑋指示同意議案。沈瑋在109年4月28日董事會決議通過發放系爭600萬元之前，另指示EPTI公司名義發放10萬美元予自己，已構成刑法背信罪。</w:t>
            </w:r>
          </w:p>
        </w:tc>
        <w:tc>
          <w:tcPr>
            <w:tcW w:w="4536" w:type="dxa"/>
            <w:tcBorders>
              <w:top w:val="single" w:sz="4" w:space="0" w:color="auto"/>
              <w:left w:val="single" w:sz="4" w:space="0" w:color="auto"/>
              <w:bottom w:val="single" w:sz="4" w:space="0" w:color="auto"/>
              <w:right w:val="single" w:sz="4" w:space="0" w:color="auto"/>
            </w:tcBorders>
            <w:hideMark/>
          </w:tcPr>
          <w:p w14:paraId="3BDE7A82"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lastRenderedPageBreak/>
              <w:t>違反證券交易法第171條第1項第3款特別背信罪之犯行，實難以期待其等會繼續誠信經營</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紳公司，應依投保法第10條第1項第2款「違反法令或章程之重大事項」予以裁判解任。</w:t>
            </w:r>
          </w:p>
        </w:tc>
      </w:tr>
      <w:tr w:rsidR="00EC0C85" w14:paraId="0A18E803" w14:textId="77777777" w:rsidTr="00EC0C85">
        <w:tc>
          <w:tcPr>
            <w:tcW w:w="831" w:type="dxa"/>
            <w:tcBorders>
              <w:top w:val="single" w:sz="4" w:space="0" w:color="auto"/>
              <w:left w:val="single" w:sz="4" w:space="0" w:color="auto"/>
              <w:bottom w:val="single" w:sz="4" w:space="0" w:color="auto"/>
              <w:right w:val="single" w:sz="4" w:space="0" w:color="auto"/>
            </w:tcBorders>
            <w:hideMark/>
          </w:tcPr>
          <w:p w14:paraId="077FE7A2"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甲八</w:t>
            </w:r>
          </w:p>
        </w:tc>
        <w:tc>
          <w:tcPr>
            <w:tcW w:w="8525" w:type="dxa"/>
            <w:tcBorders>
              <w:top w:val="single" w:sz="4" w:space="0" w:color="auto"/>
              <w:left w:val="single" w:sz="4" w:space="0" w:color="auto"/>
              <w:bottom w:val="single" w:sz="4" w:space="0" w:color="auto"/>
              <w:right w:val="single" w:sz="4" w:space="0" w:color="auto"/>
            </w:tcBorders>
            <w:hideMark/>
          </w:tcPr>
          <w:p w14:paraId="50E5D43E"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108年間TPHL公司發放特別獎金：</w:t>
            </w:r>
          </w:p>
          <w:p w14:paraId="1C0C36AD" w14:textId="543A97E5"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沈瑋為抵銷應付TPHL公司股款及買回上海同高公司股份之價金，恣意安排</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紳公司關係企業TPHL公司發放特別獎金港幣28.36百萬元予沈瑋，致</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紳公司受有重大損害港幣1,317萬元(TPHL公司之損害港幣3,636萬元×</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w:t>
            </w:r>
            <w:r w:rsidR="00C350EA">
              <w:rPr>
                <w:rFonts w:ascii="標楷體" w:eastAsia="標楷體" w:hAnsi="標楷體" w:hint="eastAsia"/>
                <w:b/>
                <w:bCs/>
                <w:color w:val="000000" w:themeColor="text1"/>
              </w:rPr>
              <w:t>公司</w:t>
            </w:r>
            <w:bookmarkStart w:id="0" w:name="_GoBack"/>
            <w:bookmarkEnd w:id="0"/>
            <w:r>
              <w:rPr>
                <w:rFonts w:ascii="標楷體" w:eastAsia="標楷體" w:hAnsi="標楷體" w:hint="eastAsia"/>
                <w:b/>
                <w:bCs/>
                <w:color w:val="000000" w:themeColor="text1"/>
              </w:rPr>
              <w:t>持股36.22%)，且108年7月22日TPHL公司董事會決議時沈瑋有利害關係卻未迴避。</w:t>
            </w:r>
          </w:p>
        </w:tc>
        <w:tc>
          <w:tcPr>
            <w:tcW w:w="4536" w:type="dxa"/>
            <w:tcBorders>
              <w:top w:val="single" w:sz="4" w:space="0" w:color="auto"/>
              <w:left w:val="single" w:sz="4" w:space="0" w:color="auto"/>
              <w:bottom w:val="single" w:sz="4" w:space="0" w:color="auto"/>
              <w:right w:val="single" w:sz="4" w:space="0" w:color="auto"/>
            </w:tcBorders>
            <w:hideMark/>
          </w:tcPr>
          <w:p w14:paraId="1B9A50C2"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構成證券交易法第171條第1項第3款特別背信罪，違背忠實義務，應依投保法第10條之1第1項第2款「執行業務重大損害公司之行為或違反法令或章程之重大事項」裁判解任。</w:t>
            </w:r>
          </w:p>
        </w:tc>
      </w:tr>
      <w:tr w:rsidR="00EC0C85" w14:paraId="58230821" w14:textId="77777777" w:rsidTr="00EC0C85">
        <w:tc>
          <w:tcPr>
            <w:tcW w:w="831" w:type="dxa"/>
            <w:tcBorders>
              <w:top w:val="single" w:sz="4" w:space="0" w:color="auto"/>
              <w:left w:val="single" w:sz="4" w:space="0" w:color="auto"/>
              <w:bottom w:val="single" w:sz="4" w:space="0" w:color="auto"/>
              <w:right w:val="single" w:sz="4" w:space="0" w:color="auto"/>
            </w:tcBorders>
            <w:hideMark/>
          </w:tcPr>
          <w:p w14:paraId="78898424"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甲九</w:t>
            </w:r>
          </w:p>
        </w:tc>
        <w:tc>
          <w:tcPr>
            <w:tcW w:w="8525" w:type="dxa"/>
            <w:tcBorders>
              <w:top w:val="single" w:sz="4" w:space="0" w:color="auto"/>
              <w:left w:val="single" w:sz="4" w:space="0" w:color="auto"/>
              <w:bottom w:val="single" w:sz="4" w:space="0" w:color="auto"/>
              <w:right w:val="single" w:sz="4" w:space="0" w:color="auto"/>
            </w:tcBorders>
            <w:hideMark/>
          </w:tcPr>
          <w:p w14:paraId="4E9F5D1A"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為贛州</w:t>
            </w:r>
            <w:proofErr w:type="gramStart"/>
            <w:r>
              <w:rPr>
                <w:rFonts w:ascii="標楷體" w:eastAsia="標楷體" w:hAnsi="標楷體" w:hint="eastAsia"/>
                <w:b/>
                <w:bCs/>
                <w:color w:val="000000" w:themeColor="text1"/>
              </w:rPr>
              <w:t>昶洧</w:t>
            </w:r>
            <w:proofErr w:type="gramEnd"/>
            <w:r>
              <w:rPr>
                <w:rFonts w:ascii="標楷體" w:eastAsia="標楷體" w:hAnsi="標楷體" w:hint="eastAsia"/>
                <w:b/>
                <w:bCs/>
                <w:color w:val="000000" w:themeColor="text1"/>
              </w:rPr>
              <w:t>公司支付研討會費用：</w:t>
            </w:r>
          </w:p>
          <w:p w14:paraId="52C38A62"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沈瑋為自己不法利益，與陳明煒共同恣意利用</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紳公司資金，違反公司一般內部作業及請款流程，</w:t>
            </w:r>
            <w:proofErr w:type="gramStart"/>
            <w:r>
              <w:rPr>
                <w:rFonts w:ascii="標楷體" w:eastAsia="標楷體" w:hAnsi="標楷體" w:hint="eastAsia"/>
                <w:b/>
                <w:bCs/>
                <w:color w:val="000000" w:themeColor="text1"/>
              </w:rPr>
              <w:t>不當替僅間接</w:t>
            </w:r>
            <w:proofErr w:type="gramEnd"/>
            <w:r>
              <w:rPr>
                <w:rFonts w:ascii="標楷體" w:eastAsia="標楷體" w:hAnsi="標楷體" w:hint="eastAsia"/>
                <w:b/>
                <w:bCs/>
                <w:color w:val="000000" w:themeColor="text1"/>
              </w:rPr>
              <w:t>持股約當18.36%之贛州</w:t>
            </w:r>
            <w:proofErr w:type="gramStart"/>
            <w:r>
              <w:rPr>
                <w:rFonts w:ascii="標楷體" w:eastAsia="標楷體" w:hAnsi="標楷體" w:hint="eastAsia"/>
                <w:b/>
                <w:bCs/>
                <w:color w:val="000000" w:themeColor="text1"/>
              </w:rPr>
              <w:t>昶洧</w:t>
            </w:r>
            <w:proofErr w:type="gramEnd"/>
            <w:r>
              <w:rPr>
                <w:rFonts w:ascii="標楷體" w:eastAsia="標楷體" w:hAnsi="標楷體" w:hint="eastAsia"/>
                <w:b/>
                <w:bCs/>
                <w:color w:val="000000" w:themeColor="text1"/>
              </w:rPr>
              <w:t>公司全數支付該公司舉辦之研討會全額費用及製作研討會相關數據報告費用共計人民幣69萬9,918元（折合新臺幣308萬9,634元），損害</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w:t>
            </w:r>
          </w:p>
        </w:tc>
        <w:tc>
          <w:tcPr>
            <w:tcW w:w="4536" w:type="dxa"/>
            <w:tcBorders>
              <w:top w:val="single" w:sz="4" w:space="0" w:color="auto"/>
              <w:left w:val="single" w:sz="4" w:space="0" w:color="auto"/>
              <w:bottom w:val="single" w:sz="4" w:space="0" w:color="auto"/>
              <w:right w:val="single" w:sz="4" w:space="0" w:color="auto"/>
            </w:tcBorders>
            <w:hideMark/>
          </w:tcPr>
          <w:p w14:paraId="32A0A692"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違犯刑法第342條背信罪，亦難認其誠信經營</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紳公司，應依投保法第10條之1第1項第2款「違反法令或章程之重大事項」予以裁判解任</w:t>
            </w:r>
          </w:p>
        </w:tc>
      </w:tr>
      <w:tr w:rsidR="00EC0C85" w14:paraId="063FCC3F" w14:textId="77777777" w:rsidTr="00EC0C85">
        <w:tc>
          <w:tcPr>
            <w:tcW w:w="83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2FBB2B4"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甲十</w:t>
            </w:r>
          </w:p>
        </w:tc>
        <w:tc>
          <w:tcPr>
            <w:tcW w:w="8525"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D037FA1" w14:textId="77777777" w:rsidR="00EC0C85" w:rsidRDefault="00EC0C85">
            <w:pPr>
              <w:rPr>
                <w:rFonts w:ascii="標楷體" w:eastAsia="標楷體" w:hAnsi="標楷體"/>
                <w:b/>
                <w:bCs/>
                <w:color w:val="000000" w:themeColor="text1"/>
              </w:rPr>
            </w:pP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紳公司100％持有之EPTI公司為贛州</w:t>
            </w:r>
            <w:proofErr w:type="gramStart"/>
            <w:r>
              <w:rPr>
                <w:rFonts w:ascii="標楷體" w:eastAsia="標楷體" w:hAnsi="標楷體" w:hint="eastAsia"/>
                <w:b/>
                <w:bCs/>
                <w:color w:val="000000" w:themeColor="text1"/>
              </w:rPr>
              <w:t>昶洧</w:t>
            </w:r>
            <w:proofErr w:type="gramEnd"/>
            <w:r>
              <w:rPr>
                <w:rFonts w:ascii="標楷體" w:eastAsia="標楷體" w:hAnsi="標楷體" w:hint="eastAsia"/>
                <w:b/>
                <w:bCs/>
                <w:color w:val="000000" w:themeColor="text1"/>
              </w:rPr>
              <w:t>公司、TPHK公司支付員工薪資：</w:t>
            </w:r>
          </w:p>
          <w:p w14:paraId="2A440DF8"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沈瑋明知</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紳公司100%持股子公司EPTI公司為設立</w:t>
            </w:r>
            <w:proofErr w:type="gramStart"/>
            <w:r>
              <w:rPr>
                <w:rFonts w:ascii="標楷體" w:eastAsia="標楷體" w:hAnsi="標楷體" w:hint="eastAsia"/>
                <w:b/>
                <w:bCs/>
                <w:color w:val="000000" w:themeColor="text1"/>
              </w:rPr>
              <w:t>於開曼之紙上</w:t>
            </w:r>
            <w:proofErr w:type="gramEnd"/>
            <w:r>
              <w:rPr>
                <w:rFonts w:ascii="標楷體" w:eastAsia="標楷體" w:hAnsi="標楷體" w:hint="eastAsia"/>
                <w:b/>
                <w:bCs/>
                <w:color w:val="000000" w:themeColor="text1"/>
              </w:rPr>
              <w:t>公司，近年除租賃業務外並無其他顧問或營運相關業務，亦知贛州</w:t>
            </w:r>
            <w:proofErr w:type="gramStart"/>
            <w:r>
              <w:rPr>
                <w:rFonts w:ascii="標楷體" w:eastAsia="標楷體" w:hAnsi="標楷體" w:hint="eastAsia"/>
                <w:b/>
                <w:bCs/>
                <w:color w:val="000000" w:themeColor="text1"/>
              </w:rPr>
              <w:t>昶洧</w:t>
            </w:r>
            <w:proofErr w:type="gramEnd"/>
            <w:r>
              <w:rPr>
                <w:rFonts w:ascii="標楷體" w:eastAsia="標楷體" w:hAnsi="標楷體" w:hint="eastAsia"/>
                <w:b/>
                <w:bCs/>
                <w:color w:val="000000" w:themeColor="text1"/>
              </w:rPr>
              <w:t>公司、TPHK公司並非</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紳公司100%持股、不同法人格主體間款項不得恣意流用，竟意圖為自己不法利益之</w:t>
            </w:r>
            <w:proofErr w:type="gramStart"/>
            <w:r>
              <w:rPr>
                <w:rFonts w:ascii="標楷體" w:eastAsia="標楷體" w:hAnsi="標楷體" w:hint="eastAsia"/>
                <w:b/>
                <w:bCs/>
                <w:color w:val="000000" w:themeColor="text1"/>
              </w:rPr>
              <w:t>日背信犯</w:t>
            </w:r>
            <w:proofErr w:type="gramEnd"/>
            <w:r>
              <w:rPr>
                <w:rFonts w:ascii="標楷體" w:eastAsia="標楷體" w:hAnsi="標楷體" w:hint="eastAsia"/>
                <w:b/>
                <w:bCs/>
                <w:color w:val="000000" w:themeColor="text1"/>
              </w:rPr>
              <w:t>意，於贛州政府基金不再投入款項，贛州</w:t>
            </w:r>
            <w:proofErr w:type="gramStart"/>
            <w:r>
              <w:rPr>
                <w:rFonts w:ascii="標楷體" w:eastAsia="標楷體" w:hAnsi="標楷體" w:hint="eastAsia"/>
                <w:b/>
                <w:bCs/>
                <w:color w:val="000000" w:themeColor="text1"/>
              </w:rPr>
              <w:t>昶洧</w:t>
            </w:r>
            <w:proofErr w:type="gramEnd"/>
            <w:r>
              <w:rPr>
                <w:rFonts w:ascii="標楷體" w:eastAsia="標楷體" w:hAnsi="標楷體" w:hint="eastAsia"/>
                <w:b/>
                <w:bCs/>
                <w:color w:val="000000" w:themeColor="text1"/>
              </w:rPr>
              <w:t>公司、TPHK公司發放員工薪資面臨困難之際，</w:t>
            </w:r>
            <w:proofErr w:type="gramStart"/>
            <w:r>
              <w:rPr>
                <w:rFonts w:ascii="標楷體" w:eastAsia="標楷體" w:hAnsi="標楷體" w:hint="eastAsia"/>
                <w:b/>
                <w:bCs/>
                <w:color w:val="000000" w:themeColor="text1"/>
              </w:rPr>
              <w:t>佯以</w:t>
            </w:r>
            <w:proofErr w:type="gramEnd"/>
            <w:r>
              <w:rPr>
                <w:rFonts w:ascii="標楷體" w:eastAsia="標楷體" w:hAnsi="標楷體" w:hint="eastAsia"/>
                <w:b/>
                <w:bCs/>
                <w:color w:val="000000" w:themeColor="text1"/>
              </w:rPr>
              <w:t>EPTI公司為發展電動車需聘僱相關顧問為由，利用其對EPTI公司之控制力，安排將原任職於贛州</w:t>
            </w:r>
            <w:proofErr w:type="gramStart"/>
            <w:r>
              <w:rPr>
                <w:rFonts w:ascii="標楷體" w:eastAsia="標楷體" w:hAnsi="標楷體" w:hint="eastAsia"/>
                <w:b/>
                <w:bCs/>
                <w:color w:val="000000" w:themeColor="text1"/>
              </w:rPr>
              <w:t>昶洧</w:t>
            </w:r>
            <w:proofErr w:type="gramEnd"/>
            <w:r>
              <w:rPr>
                <w:rFonts w:ascii="標楷體" w:eastAsia="標楷體" w:hAnsi="標楷體" w:hint="eastAsia"/>
                <w:b/>
                <w:bCs/>
                <w:color w:val="000000" w:themeColor="text1"/>
              </w:rPr>
              <w:t>公司及TPHK公司之</w:t>
            </w:r>
            <w:proofErr w:type="gramStart"/>
            <w:r>
              <w:rPr>
                <w:rFonts w:ascii="標楷體" w:eastAsia="標楷體" w:hAnsi="標楷體" w:hint="eastAsia"/>
                <w:b/>
                <w:bCs/>
                <w:color w:val="000000" w:themeColor="text1"/>
              </w:rPr>
              <w:t>員工左朝偉</w:t>
            </w:r>
            <w:proofErr w:type="gramEnd"/>
            <w:r>
              <w:rPr>
                <w:rFonts w:ascii="標楷體" w:eastAsia="標楷體" w:hAnsi="標楷體" w:hint="eastAsia"/>
                <w:b/>
                <w:bCs/>
                <w:color w:val="000000" w:themeColor="text1"/>
              </w:rPr>
              <w:t>等24人，改掛名至EPTI公司擔任顧問，實際上卻仍繼續從事各該員工原來於贛州</w:t>
            </w:r>
            <w:proofErr w:type="gramStart"/>
            <w:r>
              <w:rPr>
                <w:rFonts w:ascii="標楷體" w:eastAsia="標楷體" w:hAnsi="標楷體" w:hint="eastAsia"/>
                <w:b/>
                <w:bCs/>
                <w:color w:val="000000" w:themeColor="text1"/>
              </w:rPr>
              <w:t>昶洧</w:t>
            </w:r>
            <w:proofErr w:type="gramEnd"/>
            <w:r>
              <w:rPr>
                <w:rFonts w:ascii="標楷體" w:eastAsia="標楷體" w:hAnsi="標楷體" w:hint="eastAsia"/>
                <w:b/>
                <w:bCs/>
                <w:color w:val="000000" w:themeColor="text1"/>
              </w:rPr>
              <w:t>公司、TPHK公司之工作，在沈瑋前開安排下，形同以</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lastRenderedPageBreak/>
              <w:t>紳公司資金支付並非100%持股、不同法人主體之贛州</w:t>
            </w:r>
            <w:proofErr w:type="gramStart"/>
            <w:r>
              <w:rPr>
                <w:rFonts w:ascii="標楷體" w:eastAsia="標楷體" w:hAnsi="標楷體" w:hint="eastAsia"/>
                <w:b/>
                <w:bCs/>
                <w:color w:val="000000" w:themeColor="text1"/>
              </w:rPr>
              <w:t>昶洧</w:t>
            </w:r>
            <w:proofErr w:type="gramEnd"/>
            <w:r>
              <w:rPr>
                <w:rFonts w:ascii="標楷體" w:eastAsia="標楷體" w:hAnsi="標楷體" w:hint="eastAsia"/>
                <w:b/>
                <w:bCs/>
                <w:color w:val="000000" w:themeColor="text1"/>
              </w:rPr>
              <w:t>公司、TPHK公司等之員工薪資，總計EPTI公司於109年1月至8月期間替贛州</w:t>
            </w:r>
            <w:proofErr w:type="gramStart"/>
            <w:r>
              <w:rPr>
                <w:rFonts w:ascii="標楷體" w:eastAsia="標楷體" w:hAnsi="標楷體" w:hint="eastAsia"/>
                <w:b/>
                <w:bCs/>
                <w:color w:val="000000" w:themeColor="text1"/>
              </w:rPr>
              <w:t>昶洧</w:t>
            </w:r>
            <w:proofErr w:type="gramEnd"/>
            <w:r>
              <w:rPr>
                <w:rFonts w:ascii="標楷體" w:eastAsia="標楷體" w:hAnsi="標楷體" w:hint="eastAsia"/>
                <w:b/>
                <w:bCs/>
                <w:color w:val="000000" w:themeColor="text1"/>
              </w:rPr>
              <w:t>公司及TPHK公司支付員工薪資達2,725萬8,990元</w:t>
            </w:r>
          </w:p>
        </w:tc>
        <w:tc>
          <w:tcPr>
            <w:tcW w:w="4536" w:type="dxa"/>
            <w:tcBorders>
              <w:top w:val="single" w:sz="4" w:space="0" w:color="auto"/>
              <w:left w:val="single" w:sz="4" w:space="0" w:color="auto"/>
              <w:bottom w:val="single" w:sz="4" w:space="0" w:color="auto"/>
              <w:right w:val="single" w:sz="4" w:space="0" w:color="auto"/>
            </w:tcBorders>
            <w:hideMark/>
          </w:tcPr>
          <w:p w14:paraId="0FD8ABB4"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lastRenderedPageBreak/>
              <w:t>構成證券交易法第171條第1項第3款特別背信罪，難認其誠信經營</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紳公司，應依投保法第10條之1第1項第2款「執行業務重大損害公司之行為或違反法令或章程之重大事項」裁判解任。</w:t>
            </w:r>
          </w:p>
        </w:tc>
      </w:tr>
      <w:tr w:rsidR="00EC0C85" w14:paraId="5908E7EE" w14:textId="77777777" w:rsidTr="00EC0C85">
        <w:tc>
          <w:tcPr>
            <w:tcW w:w="831" w:type="dxa"/>
            <w:tcBorders>
              <w:top w:val="single" w:sz="4" w:space="0" w:color="auto"/>
              <w:left w:val="single" w:sz="4" w:space="0" w:color="auto"/>
              <w:bottom w:val="single" w:sz="4" w:space="0" w:color="auto"/>
              <w:right w:val="single" w:sz="4" w:space="0" w:color="auto"/>
            </w:tcBorders>
            <w:hideMark/>
          </w:tcPr>
          <w:p w14:paraId="588B34AC"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乙</w:t>
            </w:r>
          </w:p>
        </w:tc>
        <w:tc>
          <w:tcPr>
            <w:tcW w:w="8525" w:type="dxa"/>
            <w:tcBorders>
              <w:top w:val="single" w:sz="4" w:space="0" w:color="auto"/>
              <w:left w:val="single" w:sz="4" w:space="0" w:color="auto"/>
              <w:bottom w:val="single" w:sz="4" w:space="0" w:color="auto"/>
              <w:right w:val="single" w:sz="4" w:space="0" w:color="auto"/>
            </w:tcBorders>
            <w:hideMark/>
          </w:tcPr>
          <w:p w14:paraId="6F7095A1"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陳明煒內線交易：</w:t>
            </w:r>
          </w:p>
          <w:p w14:paraId="4D2937F3"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陳明煒為</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紳公司內部人，卻利用其基於職務上獲悉「</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紳公司與裕隆公司間MOU合作意向破局」之重大消息，於消息公開前賣出</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紳公司股票以規避損失，已違犯證券交易法第157條之1內線交易罪。</w:t>
            </w:r>
          </w:p>
        </w:tc>
        <w:tc>
          <w:tcPr>
            <w:tcW w:w="4536" w:type="dxa"/>
            <w:tcBorders>
              <w:top w:val="single" w:sz="4" w:space="0" w:color="auto"/>
              <w:left w:val="single" w:sz="4" w:space="0" w:color="auto"/>
              <w:bottom w:val="single" w:sz="4" w:space="0" w:color="auto"/>
              <w:right w:val="single" w:sz="4" w:space="0" w:color="auto"/>
            </w:tcBorders>
            <w:hideMark/>
          </w:tcPr>
          <w:p w14:paraId="415445DC"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成立證券交易法第157條之1內線交易罪，構成投保法第10條之1第1 項第2款之</w:t>
            </w:r>
            <w:proofErr w:type="gramStart"/>
            <w:r>
              <w:rPr>
                <w:rFonts w:ascii="標楷體" w:eastAsia="標楷體" w:hAnsi="標楷體" w:hint="eastAsia"/>
                <w:b/>
                <w:bCs/>
                <w:color w:val="000000" w:themeColor="text1"/>
              </w:rPr>
              <w:t>獨立解任</w:t>
            </w:r>
            <w:proofErr w:type="gramEnd"/>
            <w:r>
              <w:rPr>
                <w:rFonts w:ascii="標楷體" w:eastAsia="標楷體" w:hAnsi="標楷體" w:hint="eastAsia"/>
                <w:b/>
                <w:bCs/>
                <w:color w:val="000000" w:themeColor="text1"/>
              </w:rPr>
              <w:t>事由。</w:t>
            </w:r>
          </w:p>
        </w:tc>
      </w:tr>
      <w:tr w:rsidR="00EC0C85" w14:paraId="78372013" w14:textId="77777777" w:rsidTr="00EC0C85">
        <w:tc>
          <w:tcPr>
            <w:tcW w:w="83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5B67B97"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丙</w:t>
            </w:r>
            <w:proofErr w:type="gramStart"/>
            <w:r>
              <w:rPr>
                <w:rFonts w:ascii="MS Gothic" w:eastAsia="MS Gothic" w:hAnsi="MS Gothic" w:cs="MS Gothic" w:hint="eastAsia"/>
                <w:b/>
                <w:bCs/>
                <w:color w:val="000000" w:themeColor="text1"/>
              </w:rPr>
              <w:t>㈠</w:t>
            </w:r>
            <w:proofErr w:type="gramEnd"/>
          </w:p>
        </w:tc>
        <w:tc>
          <w:tcPr>
            <w:tcW w:w="8525"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4B01970" w14:textId="77777777" w:rsidR="00EC0C85" w:rsidRDefault="00EC0C85">
            <w:pPr>
              <w:pStyle w:val="a8"/>
              <w:rPr>
                <w:color w:val="000000" w:themeColor="text1"/>
              </w:rPr>
            </w:pPr>
            <w:r>
              <w:rPr>
                <w:rFonts w:hint="eastAsia"/>
                <w:color w:val="000000" w:themeColor="text1"/>
              </w:rPr>
              <w:t>沈瑋、陳明煒散布流言操縱股價：</w:t>
            </w:r>
          </w:p>
          <w:p w14:paraId="72CC9F66" w14:textId="77777777" w:rsidR="00EC0C85" w:rsidRDefault="00EC0C85">
            <w:pPr>
              <w:pStyle w:val="a8"/>
              <w:rPr>
                <w:color w:val="000000" w:themeColor="text1"/>
              </w:rPr>
            </w:pPr>
            <w:r>
              <w:rPr>
                <w:rFonts w:hint="eastAsia"/>
                <w:color w:val="000000" w:themeColor="text1"/>
              </w:rPr>
              <w:t>沈瑋、陳明煒均實際知悉系爭人民幣2.56億元之資金係由贛州</w:t>
            </w:r>
            <w:proofErr w:type="gramStart"/>
            <w:r>
              <w:rPr>
                <w:rFonts w:hint="eastAsia"/>
                <w:color w:val="000000" w:themeColor="text1"/>
              </w:rPr>
              <w:t>昶洧</w:t>
            </w:r>
            <w:proofErr w:type="gramEnd"/>
            <w:r>
              <w:rPr>
                <w:rFonts w:hint="eastAsia"/>
                <w:color w:val="000000" w:themeColor="text1"/>
              </w:rPr>
              <w:t>公司借款取得而非履行合資義務之投資，陳明煒卻仍依沈瑋指示於108年 10月25日上午盤前8時許使用個人註冊於淳紳公司電子信箱、名稱為「Albert Chen」之電子郵件帳號，將信件標題為「</w:t>
            </w:r>
            <w:proofErr w:type="gramStart"/>
            <w:r>
              <w:rPr>
                <w:rFonts w:hint="eastAsia"/>
                <w:color w:val="000000" w:themeColor="text1"/>
              </w:rPr>
              <w:t>昶洧</w:t>
            </w:r>
            <w:proofErr w:type="gramEnd"/>
            <w:r>
              <w:rPr>
                <w:rFonts w:hint="eastAsia"/>
                <w:color w:val="000000" w:themeColor="text1"/>
              </w:rPr>
              <w:t>集團新聞稿20191025」、附件為該新聞稿電子檔之電子郵件傳送予不知情之財訊快報記者，散布之前開不實流言明顯影響</w:t>
            </w:r>
            <w:proofErr w:type="gramStart"/>
            <w:r>
              <w:rPr>
                <w:rFonts w:hint="eastAsia"/>
                <w:color w:val="000000" w:themeColor="text1"/>
              </w:rPr>
              <w:t>淳</w:t>
            </w:r>
            <w:proofErr w:type="gramEnd"/>
            <w:r>
              <w:rPr>
                <w:rFonts w:hint="eastAsia"/>
                <w:color w:val="000000" w:themeColor="text1"/>
              </w:rPr>
              <w:t>紳公司股價及證券市場投資人之判斷，構成證券交易法第155條第1 項第6款操縱股價罪。</w:t>
            </w:r>
          </w:p>
        </w:tc>
        <w:tc>
          <w:tcPr>
            <w:tcW w:w="4536" w:type="dxa"/>
            <w:tcBorders>
              <w:top w:val="single" w:sz="4" w:space="0" w:color="auto"/>
              <w:left w:val="single" w:sz="4" w:space="0" w:color="auto"/>
              <w:bottom w:val="single" w:sz="4" w:space="0" w:color="auto"/>
              <w:right w:val="single" w:sz="4" w:space="0" w:color="auto"/>
            </w:tcBorders>
            <w:hideMark/>
          </w:tcPr>
          <w:p w14:paraId="2F0BF15C"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成立證券交易法第155條第1項第6款操縱股價罪，構成投保法第10條之1第1項第2款之</w:t>
            </w:r>
            <w:proofErr w:type="gramStart"/>
            <w:r>
              <w:rPr>
                <w:rFonts w:ascii="標楷體" w:eastAsia="標楷體" w:hAnsi="標楷體" w:hint="eastAsia"/>
                <w:b/>
                <w:bCs/>
                <w:color w:val="000000" w:themeColor="text1"/>
              </w:rPr>
              <w:t>獨立解任</w:t>
            </w:r>
            <w:proofErr w:type="gramEnd"/>
            <w:r>
              <w:rPr>
                <w:rFonts w:ascii="標楷體" w:eastAsia="標楷體" w:hAnsi="標楷體" w:hint="eastAsia"/>
                <w:b/>
                <w:bCs/>
                <w:color w:val="000000" w:themeColor="text1"/>
              </w:rPr>
              <w:t>事由，應予以裁判解任。</w:t>
            </w:r>
          </w:p>
        </w:tc>
      </w:tr>
      <w:tr w:rsidR="00EC0C85" w14:paraId="5F056DAF" w14:textId="77777777" w:rsidTr="00EC0C85">
        <w:tc>
          <w:tcPr>
            <w:tcW w:w="83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5D667F1"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丙</w:t>
            </w:r>
            <w:r>
              <w:rPr>
                <w:rFonts w:ascii="MS Gothic" w:eastAsia="MS Gothic" w:hAnsi="MS Gothic" w:cs="MS Gothic" w:hint="eastAsia"/>
                <w:b/>
                <w:bCs/>
                <w:color w:val="000000" w:themeColor="text1"/>
              </w:rPr>
              <w:t>㈡</w:t>
            </w:r>
          </w:p>
        </w:tc>
        <w:tc>
          <w:tcPr>
            <w:tcW w:w="8525"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D5E903F"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陳明煒違背職務：</w:t>
            </w:r>
          </w:p>
          <w:p w14:paraId="6FD098ED"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陳明煒為掩飾如不法事實丙</w:t>
            </w:r>
            <w:proofErr w:type="gramStart"/>
            <w:r>
              <w:rPr>
                <w:rFonts w:ascii="MS Gothic" w:eastAsia="MS Gothic" w:hAnsi="MS Gothic" w:cs="MS Gothic" w:hint="eastAsia"/>
                <w:b/>
                <w:bCs/>
                <w:color w:val="000000" w:themeColor="text1"/>
              </w:rPr>
              <w:t>㈠</w:t>
            </w:r>
            <w:proofErr w:type="gramEnd"/>
            <w:r>
              <w:rPr>
                <w:rFonts w:ascii="標楷體" w:eastAsia="標楷體" w:hAnsi="標楷體" w:hint="eastAsia"/>
                <w:b/>
                <w:bCs/>
                <w:color w:val="000000" w:themeColor="text1"/>
              </w:rPr>
              <w:t>部份之操縱股價犯行及為持續影響投資人判斷，違背忠實義務，故意</w:t>
            </w:r>
            <w:proofErr w:type="gramStart"/>
            <w:r>
              <w:rPr>
                <w:rFonts w:ascii="標楷體" w:eastAsia="標楷體" w:hAnsi="標楷體" w:hint="eastAsia"/>
                <w:b/>
                <w:bCs/>
                <w:color w:val="000000" w:themeColor="text1"/>
              </w:rPr>
              <w:t>未依櫃買</w:t>
            </w:r>
            <w:proofErr w:type="gramEnd"/>
            <w:r>
              <w:rPr>
                <w:rFonts w:ascii="標楷體" w:eastAsia="標楷體" w:hAnsi="標楷體" w:hint="eastAsia"/>
                <w:b/>
                <w:bCs/>
                <w:color w:val="000000" w:themeColor="text1"/>
              </w:rPr>
              <w:t>中心對有價證券上櫃公司重大訊息之查證暨公開處理程序第6條第1項第2款規定辦理（重大訊息澄清說明），致</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w:t>
            </w:r>
            <w:proofErr w:type="gramStart"/>
            <w:r>
              <w:rPr>
                <w:rFonts w:ascii="標楷體" w:eastAsia="標楷體" w:hAnsi="標楷體" w:hint="eastAsia"/>
                <w:b/>
                <w:bCs/>
                <w:color w:val="000000" w:themeColor="text1"/>
              </w:rPr>
              <w:t>因此遭櫃買</w:t>
            </w:r>
            <w:proofErr w:type="gramEnd"/>
            <w:r>
              <w:rPr>
                <w:rFonts w:ascii="標楷體" w:eastAsia="標楷體" w:hAnsi="標楷體" w:hint="eastAsia"/>
                <w:b/>
                <w:bCs/>
                <w:color w:val="000000" w:themeColor="text1"/>
              </w:rPr>
              <w:t>中心裁處30萬元違約金。</w:t>
            </w:r>
          </w:p>
        </w:tc>
        <w:tc>
          <w:tcPr>
            <w:tcW w:w="4536" w:type="dxa"/>
            <w:tcBorders>
              <w:top w:val="single" w:sz="4" w:space="0" w:color="auto"/>
              <w:left w:val="single" w:sz="4" w:space="0" w:color="auto"/>
              <w:bottom w:val="single" w:sz="4" w:space="0" w:color="auto"/>
              <w:right w:val="single" w:sz="4" w:space="0" w:color="auto"/>
            </w:tcBorders>
            <w:hideMark/>
          </w:tcPr>
          <w:p w14:paraId="3087A659" w14:textId="77777777" w:rsidR="00EC0C85" w:rsidRDefault="00EC0C85">
            <w:pPr>
              <w:rPr>
                <w:rFonts w:ascii="標楷體" w:eastAsia="標楷體" w:hAnsi="標楷體"/>
                <w:b/>
                <w:bCs/>
                <w:color w:val="000000" w:themeColor="text1"/>
              </w:rPr>
            </w:pPr>
            <w:r>
              <w:rPr>
                <w:rFonts w:ascii="標楷體" w:eastAsia="標楷體" w:hAnsi="標楷體" w:hint="eastAsia"/>
                <w:b/>
                <w:bCs/>
                <w:color w:val="000000" w:themeColor="text1"/>
              </w:rPr>
              <w:t>其行為在客觀上已足認其不會誠信經營</w:t>
            </w:r>
            <w:proofErr w:type="gramStart"/>
            <w:r>
              <w:rPr>
                <w:rFonts w:ascii="標楷體" w:eastAsia="標楷體" w:hAnsi="標楷體" w:hint="eastAsia"/>
                <w:b/>
                <w:bCs/>
                <w:color w:val="000000" w:themeColor="text1"/>
              </w:rPr>
              <w:t>淳</w:t>
            </w:r>
            <w:proofErr w:type="gramEnd"/>
            <w:r>
              <w:rPr>
                <w:rFonts w:ascii="標楷體" w:eastAsia="標楷體" w:hAnsi="標楷體" w:hint="eastAsia"/>
                <w:b/>
                <w:bCs/>
                <w:color w:val="000000" w:themeColor="text1"/>
              </w:rPr>
              <w:t>紳公司，其繼續擔任董事職務將使股東權益或社會公益受有重大損害，應依投保法第10條之1第1項第2款予以裁判解任。</w:t>
            </w:r>
          </w:p>
        </w:tc>
      </w:tr>
    </w:tbl>
    <w:p w14:paraId="6E4DCC1B" w14:textId="77777777" w:rsidR="00EC0C85" w:rsidRDefault="00EC0C85" w:rsidP="00EC0C85">
      <w:pPr>
        <w:rPr>
          <w:rFonts w:ascii="標楷體" w:eastAsia="標楷體" w:hAnsi="標楷體"/>
          <w:b/>
          <w:bCs/>
          <w:color w:val="000000" w:themeColor="text1"/>
        </w:rPr>
      </w:pPr>
    </w:p>
    <w:p w14:paraId="399C197A" w14:textId="77777777" w:rsidR="00EC0C85" w:rsidRDefault="00EC0C85" w:rsidP="00EC0C85">
      <w:pPr>
        <w:rPr>
          <w:rFonts w:ascii="標楷體" w:eastAsia="標楷體" w:hAnsi="標楷體"/>
          <w:b/>
          <w:bCs/>
          <w:color w:val="000000" w:themeColor="text1"/>
        </w:rPr>
      </w:pPr>
    </w:p>
    <w:p w14:paraId="348A25ED" w14:textId="77777777" w:rsidR="00EC0C85" w:rsidRDefault="00EC0C85" w:rsidP="00EC0C85">
      <w:pPr>
        <w:rPr>
          <w:rFonts w:ascii="標楷體" w:eastAsia="標楷體" w:hAnsi="標楷體"/>
          <w:b/>
          <w:bCs/>
          <w:color w:val="000000" w:themeColor="text1"/>
        </w:rPr>
      </w:pPr>
    </w:p>
    <w:p w14:paraId="32DDCF50" w14:textId="77777777" w:rsidR="00EC0C85" w:rsidRDefault="00EC0C85" w:rsidP="00EC0C85">
      <w:pPr>
        <w:rPr>
          <w:rFonts w:ascii="標楷體" w:eastAsia="標楷體" w:hAnsi="標楷體"/>
          <w:b/>
          <w:bCs/>
          <w:color w:val="000000" w:themeColor="text1"/>
        </w:rPr>
      </w:pPr>
    </w:p>
    <w:p w14:paraId="05BADD36" w14:textId="77777777" w:rsidR="00DA4A66" w:rsidRPr="00EC0C85" w:rsidRDefault="00DA4A66" w:rsidP="00EC0C85"/>
    <w:sectPr w:rsidR="00DA4A66" w:rsidRPr="00EC0C85" w:rsidSect="006673B3">
      <w:footerReference w:type="default" r:id="rId7"/>
      <w:pgSz w:w="16838" w:h="11906" w:orient="landscape"/>
      <w:pgMar w:top="1080" w:right="1440" w:bottom="108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63251A" w14:textId="77777777" w:rsidR="007F3512" w:rsidRDefault="007F3512" w:rsidP="006673B3">
      <w:r>
        <w:separator/>
      </w:r>
    </w:p>
  </w:endnote>
  <w:endnote w:type="continuationSeparator" w:id="0">
    <w:p w14:paraId="2284460C" w14:textId="77777777" w:rsidR="007F3512" w:rsidRDefault="007F3512" w:rsidP="00667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1319479"/>
      <w:docPartObj>
        <w:docPartGallery w:val="Page Numbers (Bottom of Page)"/>
        <w:docPartUnique/>
      </w:docPartObj>
    </w:sdtPr>
    <w:sdtEndPr/>
    <w:sdtContent>
      <w:p w14:paraId="417697D4" w14:textId="6D1D31FA" w:rsidR="00952FFD" w:rsidRDefault="00952FFD">
        <w:pPr>
          <w:pStyle w:val="a5"/>
          <w:jc w:val="center"/>
        </w:pPr>
        <w:r>
          <w:fldChar w:fldCharType="begin"/>
        </w:r>
        <w:r>
          <w:instrText>PAGE   \* MERGEFORMAT</w:instrText>
        </w:r>
        <w:r>
          <w:fldChar w:fldCharType="separate"/>
        </w:r>
        <w:r w:rsidR="00C350EA" w:rsidRPr="00C350EA">
          <w:rPr>
            <w:noProof/>
            <w:lang w:val="zh-TW"/>
          </w:rPr>
          <w:t>6</w:t>
        </w:r>
        <w:r>
          <w:fldChar w:fldCharType="end"/>
        </w:r>
      </w:p>
    </w:sdtContent>
  </w:sdt>
  <w:p w14:paraId="024F7C84" w14:textId="77777777" w:rsidR="00952FFD" w:rsidRDefault="00952FF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A1CBE" w14:textId="77777777" w:rsidR="007F3512" w:rsidRDefault="007F3512" w:rsidP="006673B3">
      <w:r>
        <w:separator/>
      </w:r>
    </w:p>
  </w:footnote>
  <w:footnote w:type="continuationSeparator" w:id="0">
    <w:p w14:paraId="0F1DAE9B" w14:textId="77777777" w:rsidR="007F3512" w:rsidRDefault="007F3512" w:rsidP="00667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925A0"/>
    <w:multiLevelType w:val="hybridMultilevel"/>
    <w:tmpl w:val="85E62A24"/>
    <w:lvl w:ilvl="0" w:tplc="DB68E2BA">
      <w:start w:val="1"/>
      <w:numFmt w:val="taiwaneseCountingThousand"/>
      <w:lvlText w:val="（%1）"/>
      <w:lvlJc w:val="left"/>
      <w:pPr>
        <w:ind w:left="756" w:hanging="7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01F"/>
    <w:rsid w:val="00007411"/>
    <w:rsid w:val="000D4064"/>
    <w:rsid w:val="000E2B2D"/>
    <w:rsid w:val="00151CA3"/>
    <w:rsid w:val="001A3192"/>
    <w:rsid w:val="001C0371"/>
    <w:rsid w:val="0020601F"/>
    <w:rsid w:val="0023626B"/>
    <w:rsid w:val="002A0319"/>
    <w:rsid w:val="002E179B"/>
    <w:rsid w:val="002E3750"/>
    <w:rsid w:val="002F0EDC"/>
    <w:rsid w:val="002F5AD0"/>
    <w:rsid w:val="003070D9"/>
    <w:rsid w:val="00344EF1"/>
    <w:rsid w:val="003B3134"/>
    <w:rsid w:val="003D5870"/>
    <w:rsid w:val="00427E18"/>
    <w:rsid w:val="00450446"/>
    <w:rsid w:val="00474144"/>
    <w:rsid w:val="004A541B"/>
    <w:rsid w:val="004B55BD"/>
    <w:rsid w:val="004C2F82"/>
    <w:rsid w:val="005105D9"/>
    <w:rsid w:val="00541DDD"/>
    <w:rsid w:val="00556697"/>
    <w:rsid w:val="005C33FE"/>
    <w:rsid w:val="005C3BF1"/>
    <w:rsid w:val="005F700C"/>
    <w:rsid w:val="006149E7"/>
    <w:rsid w:val="006673B3"/>
    <w:rsid w:val="006851B6"/>
    <w:rsid w:val="006913EA"/>
    <w:rsid w:val="006A585A"/>
    <w:rsid w:val="00750BB3"/>
    <w:rsid w:val="00751C65"/>
    <w:rsid w:val="007A2E68"/>
    <w:rsid w:val="007B09BC"/>
    <w:rsid w:val="007B3574"/>
    <w:rsid w:val="007F1A55"/>
    <w:rsid w:val="007F3429"/>
    <w:rsid w:val="007F3512"/>
    <w:rsid w:val="00827E33"/>
    <w:rsid w:val="008409CF"/>
    <w:rsid w:val="00880176"/>
    <w:rsid w:val="008C19A4"/>
    <w:rsid w:val="008C7547"/>
    <w:rsid w:val="008F4C6D"/>
    <w:rsid w:val="00927694"/>
    <w:rsid w:val="00934487"/>
    <w:rsid w:val="00952FFD"/>
    <w:rsid w:val="00964A34"/>
    <w:rsid w:val="00A23670"/>
    <w:rsid w:val="00A84847"/>
    <w:rsid w:val="00A95A17"/>
    <w:rsid w:val="00AC5E3A"/>
    <w:rsid w:val="00B54A8B"/>
    <w:rsid w:val="00B86DF5"/>
    <w:rsid w:val="00B901E5"/>
    <w:rsid w:val="00BA2968"/>
    <w:rsid w:val="00BB7E1D"/>
    <w:rsid w:val="00BC4FC1"/>
    <w:rsid w:val="00BC5413"/>
    <w:rsid w:val="00BE0326"/>
    <w:rsid w:val="00C06FAE"/>
    <w:rsid w:val="00C350EA"/>
    <w:rsid w:val="00C3662B"/>
    <w:rsid w:val="00C675E4"/>
    <w:rsid w:val="00C844A3"/>
    <w:rsid w:val="00C85E9B"/>
    <w:rsid w:val="00C93BC3"/>
    <w:rsid w:val="00D02841"/>
    <w:rsid w:val="00D2630B"/>
    <w:rsid w:val="00D34ECD"/>
    <w:rsid w:val="00D34FF6"/>
    <w:rsid w:val="00D771D2"/>
    <w:rsid w:val="00DA477E"/>
    <w:rsid w:val="00DA4A66"/>
    <w:rsid w:val="00DB1790"/>
    <w:rsid w:val="00DB5EA2"/>
    <w:rsid w:val="00DC6C7A"/>
    <w:rsid w:val="00DD1BCB"/>
    <w:rsid w:val="00DE03E6"/>
    <w:rsid w:val="00E372AD"/>
    <w:rsid w:val="00E8751A"/>
    <w:rsid w:val="00EC0C85"/>
    <w:rsid w:val="00F73B89"/>
    <w:rsid w:val="00F74525"/>
    <w:rsid w:val="00FC26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4A3E1"/>
  <w15:chartTrackingRefBased/>
  <w15:docId w15:val="{459F3C29-672F-4491-9FD2-BBBDB6395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0C8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73B3"/>
    <w:pPr>
      <w:tabs>
        <w:tab w:val="center" w:pos="4153"/>
        <w:tab w:val="right" w:pos="8306"/>
      </w:tabs>
      <w:snapToGrid w:val="0"/>
    </w:pPr>
    <w:rPr>
      <w:sz w:val="20"/>
      <w:szCs w:val="20"/>
    </w:rPr>
  </w:style>
  <w:style w:type="character" w:customStyle="1" w:styleId="a4">
    <w:name w:val="頁首 字元"/>
    <w:basedOn w:val="a0"/>
    <w:link w:val="a3"/>
    <w:uiPriority w:val="99"/>
    <w:rsid w:val="006673B3"/>
    <w:rPr>
      <w:sz w:val="20"/>
      <w:szCs w:val="20"/>
    </w:rPr>
  </w:style>
  <w:style w:type="paragraph" w:styleId="a5">
    <w:name w:val="footer"/>
    <w:basedOn w:val="a"/>
    <w:link w:val="a6"/>
    <w:uiPriority w:val="99"/>
    <w:unhideWhenUsed/>
    <w:rsid w:val="006673B3"/>
    <w:pPr>
      <w:tabs>
        <w:tab w:val="center" w:pos="4153"/>
        <w:tab w:val="right" w:pos="8306"/>
      </w:tabs>
      <w:snapToGrid w:val="0"/>
    </w:pPr>
    <w:rPr>
      <w:sz w:val="20"/>
      <w:szCs w:val="20"/>
    </w:rPr>
  </w:style>
  <w:style w:type="character" w:customStyle="1" w:styleId="a6">
    <w:name w:val="頁尾 字元"/>
    <w:basedOn w:val="a0"/>
    <w:link w:val="a5"/>
    <w:uiPriority w:val="99"/>
    <w:rsid w:val="006673B3"/>
    <w:rPr>
      <w:sz w:val="20"/>
      <w:szCs w:val="20"/>
    </w:rPr>
  </w:style>
  <w:style w:type="table" w:styleId="a7">
    <w:name w:val="Table Grid"/>
    <w:basedOn w:val="a1"/>
    <w:uiPriority w:val="39"/>
    <w:rsid w:val="006673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Salutation"/>
    <w:basedOn w:val="a"/>
    <w:next w:val="a"/>
    <w:link w:val="a9"/>
    <w:uiPriority w:val="99"/>
    <w:unhideWhenUsed/>
    <w:rsid w:val="00927694"/>
    <w:rPr>
      <w:rFonts w:ascii="標楷體" w:eastAsia="標楷體" w:hAnsi="標楷體"/>
      <w:b/>
      <w:bCs/>
    </w:rPr>
  </w:style>
  <w:style w:type="character" w:customStyle="1" w:styleId="a9">
    <w:name w:val="問候 字元"/>
    <w:basedOn w:val="a0"/>
    <w:link w:val="a8"/>
    <w:uiPriority w:val="99"/>
    <w:rsid w:val="00927694"/>
    <w:rPr>
      <w:rFonts w:ascii="標楷體" w:eastAsia="標楷體" w:hAnsi="標楷體"/>
      <w:b/>
      <w:bCs/>
    </w:rPr>
  </w:style>
  <w:style w:type="paragraph" w:styleId="aa">
    <w:name w:val="Closing"/>
    <w:basedOn w:val="a"/>
    <w:link w:val="ab"/>
    <w:uiPriority w:val="99"/>
    <w:unhideWhenUsed/>
    <w:rsid w:val="00927694"/>
    <w:pPr>
      <w:ind w:leftChars="1800" w:left="100"/>
    </w:pPr>
    <w:rPr>
      <w:rFonts w:ascii="標楷體" w:eastAsia="標楷體" w:hAnsi="標楷體"/>
      <w:b/>
      <w:bCs/>
    </w:rPr>
  </w:style>
  <w:style w:type="character" w:customStyle="1" w:styleId="ab">
    <w:name w:val="結語 字元"/>
    <w:basedOn w:val="a0"/>
    <w:link w:val="aa"/>
    <w:uiPriority w:val="99"/>
    <w:rsid w:val="00927694"/>
    <w:rPr>
      <w:rFonts w:ascii="標楷體" w:eastAsia="標楷體" w:hAnsi="標楷體"/>
      <w:b/>
      <w:bCs/>
    </w:rPr>
  </w:style>
  <w:style w:type="paragraph" w:styleId="ac">
    <w:name w:val="List Paragraph"/>
    <w:basedOn w:val="a"/>
    <w:uiPriority w:val="34"/>
    <w:qFormat/>
    <w:rsid w:val="001C037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723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875</Words>
  <Characters>4988</Characters>
  <Application>Microsoft Office Word</Application>
  <DocSecurity>0</DocSecurity>
  <Lines>41</Lines>
  <Paragraphs>11</Paragraphs>
  <ScaleCrop>false</ScaleCrop>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彭洪英</dc:creator>
  <cp:keywords/>
  <dc:description/>
  <cp:lastModifiedBy>謝金宏</cp:lastModifiedBy>
  <cp:revision>7</cp:revision>
  <cp:lastPrinted>2025-07-11T08:11:00Z</cp:lastPrinted>
  <dcterms:created xsi:type="dcterms:W3CDTF">2025-07-11T08:31:00Z</dcterms:created>
  <dcterms:modified xsi:type="dcterms:W3CDTF">2025-07-21T02:06:00Z</dcterms:modified>
</cp:coreProperties>
</file>