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014" w:rsidRPr="00AB5FD9" w:rsidRDefault="00AB5FD9">
      <w:pPr>
        <w:rPr>
          <w:rFonts w:ascii="標楷體" w:eastAsia="標楷體" w:hAnsi="標楷體"/>
          <w:szCs w:val="24"/>
        </w:rPr>
      </w:pPr>
      <w:r w:rsidRPr="00AB5FD9">
        <w:rPr>
          <w:rFonts w:ascii="標楷體" w:eastAsia="標楷體" w:hAnsi="標楷體" w:hint="eastAsia"/>
          <w:szCs w:val="24"/>
        </w:rPr>
        <w:t>附表一</w:t>
      </w:r>
    </w:p>
    <w:tbl>
      <w:tblP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5"/>
        <w:gridCol w:w="3118"/>
        <w:gridCol w:w="851"/>
        <w:gridCol w:w="3575"/>
        <w:gridCol w:w="1049"/>
      </w:tblGrid>
      <w:tr w:rsidR="007F63D7" w:rsidRPr="007F63D7" w:rsidTr="007F63D7">
        <w:trPr>
          <w:trHeight w:val="656"/>
        </w:trPr>
        <w:tc>
          <w:tcPr>
            <w:tcW w:w="855" w:type="dxa"/>
          </w:tcPr>
          <w:p w:rsidR="007F63D7" w:rsidRPr="007F63D7" w:rsidRDefault="007F63D7" w:rsidP="00B04FFD">
            <w:pPr>
              <w:spacing w:line="0" w:lineRule="atLeast"/>
              <w:jc w:val="center"/>
              <w:rPr>
                <w:b/>
                <w:sz w:val="22"/>
              </w:rPr>
            </w:pPr>
            <w:r w:rsidRPr="007F63D7">
              <w:rPr>
                <w:b/>
                <w:sz w:val="22"/>
              </w:rPr>
              <w:t>要件編號</w:t>
            </w:r>
          </w:p>
        </w:tc>
        <w:tc>
          <w:tcPr>
            <w:tcW w:w="3118" w:type="dxa"/>
          </w:tcPr>
          <w:p w:rsidR="007F63D7" w:rsidRPr="007F63D7" w:rsidRDefault="007F63D7" w:rsidP="00B04FFD">
            <w:pPr>
              <w:spacing w:line="0" w:lineRule="atLeast"/>
              <w:jc w:val="distribute"/>
              <w:rPr>
                <w:b/>
                <w:sz w:val="22"/>
              </w:rPr>
            </w:pPr>
            <w:r w:rsidRPr="007F63D7">
              <w:rPr>
                <w:b/>
                <w:sz w:val="22"/>
              </w:rPr>
              <w:t>系爭專利請求項</w:t>
            </w:r>
            <w:r w:rsidRPr="007F63D7">
              <w:rPr>
                <w:b/>
                <w:sz w:val="22"/>
              </w:rPr>
              <w:t>1</w:t>
            </w:r>
          </w:p>
          <w:p w:rsidR="007F63D7" w:rsidRPr="007F63D7" w:rsidRDefault="007F63D7" w:rsidP="00B04FFD">
            <w:pPr>
              <w:spacing w:line="0" w:lineRule="atLeast"/>
              <w:jc w:val="distribute"/>
              <w:rPr>
                <w:b/>
                <w:sz w:val="22"/>
              </w:rPr>
            </w:pPr>
            <w:r w:rsidRPr="007F63D7">
              <w:rPr>
                <w:b/>
                <w:sz w:val="22"/>
              </w:rPr>
              <w:t>技術特徵</w:t>
            </w:r>
          </w:p>
        </w:tc>
        <w:tc>
          <w:tcPr>
            <w:tcW w:w="851" w:type="dxa"/>
          </w:tcPr>
          <w:p w:rsidR="007F63D7" w:rsidRPr="007F63D7" w:rsidRDefault="007F63D7" w:rsidP="00B04FFD">
            <w:pPr>
              <w:spacing w:line="0" w:lineRule="atLeast"/>
              <w:jc w:val="center"/>
              <w:rPr>
                <w:b/>
                <w:sz w:val="22"/>
              </w:rPr>
            </w:pPr>
            <w:r w:rsidRPr="007F63D7">
              <w:rPr>
                <w:b/>
                <w:sz w:val="22"/>
              </w:rPr>
              <w:t>要件編號</w:t>
            </w:r>
          </w:p>
        </w:tc>
        <w:tc>
          <w:tcPr>
            <w:tcW w:w="3575" w:type="dxa"/>
          </w:tcPr>
          <w:p w:rsidR="007F63D7" w:rsidRPr="007F63D7" w:rsidRDefault="007F63D7" w:rsidP="00B04FFD">
            <w:pPr>
              <w:spacing w:line="0" w:lineRule="atLeast"/>
              <w:jc w:val="distribute"/>
              <w:rPr>
                <w:b/>
                <w:sz w:val="22"/>
              </w:rPr>
            </w:pPr>
            <w:r w:rsidRPr="007F63D7">
              <w:rPr>
                <w:b/>
                <w:sz w:val="22"/>
              </w:rPr>
              <w:t>系爭產品</w:t>
            </w:r>
          </w:p>
          <w:p w:rsidR="007F63D7" w:rsidRPr="007F63D7" w:rsidRDefault="007F63D7" w:rsidP="00B04FFD">
            <w:pPr>
              <w:spacing w:line="0" w:lineRule="atLeast"/>
              <w:jc w:val="distribute"/>
              <w:rPr>
                <w:b/>
                <w:sz w:val="22"/>
              </w:rPr>
            </w:pPr>
            <w:r w:rsidRPr="007F63D7">
              <w:rPr>
                <w:b/>
                <w:sz w:val="22"/>
              </w:rPr>
              <w:t>技術內容</w:t>
            </w:r>
          </w:p>
        </w:tc>
        <w:tc>
          <w:tcPr>
            <w:tcW w:w="1049" w:type="dxa"/>
          </w:tcPr>
          <w:p w:rsidR="007F63D7" w:rsidRPr="007F63D7" w:rsidRDefault="007F63D7" w:rsidP="00B04FFD">
            <w:pPr>
              <w:spacing w:line="0" w:lineRule="atLeast"/>
              <w:jc w:val="distribute"/>
              <w:rPr>
                <w:b/>
                <w:sz w:val="22"/>
              </w:rPr>
            </w:pPr>
            <w:r w:rsidRPr="007F63D7">
              <w:rPr>
                <w:b/>
                <w:sz w:val="22"/>
              </w:rPr>
              <w:t>是否</w:t>
            </w:r>
          </w:p>
          <w:p w:rsidR="007F63D7" w:rsidRPr="007F63D7" w:rsidRDefault="007F63D7" w:rsidP="00B04FFD">
            <w:pPr>
              <w:spacing w:line="0" w:lineRule="atLeast"/>
              <w:jc w:val="distribute"/>
              <w:rPr>
                <w:b/>
                <w:sz w:val="22"/>
              </w:rPr>
            </w:pPr>
            <w:r w:rsidRPr="007F63D7">
              <w:rPr>
                <w:b/>
                <w:sz w:val="22"/>
              </w:rPr>
              <w:t>文義讀取</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w:t>
            </w:r>
            <w:r w:rsidRPr="007F63D7">
              <w:rPr>
                <w:sz w:val="22"/>
              </w:rPr>
              <w:t>A</w:t>
            </w:r>
          </w:p>
        </w:tc>
        <w:tc>
          <w:tcPr>
            <w:tcW w:w="3118" w:type="dxa"/>
          </w:tcPr>
          <w:p w:rsidR="007F63D7" w:rsidRPr="007F63D7" w:rsidRDefault="007F63D7" w:rsidP="00B04FFD">
            <w:pPr>
              <w:jc w:val="both"/>
              <w:rPr>
                <w:rFonts w:ascii="新細明體" w:eastAsia="新細明體" w:hAnsi="新細明體"/>
                <w:sz w:val="22"/>
              </w:rPr>
            </w:pPr>
            <w:r w:rsidRPr="007F63D7">
              <w:rPr>
                <w:rFonts w:ascii="新細明體" w:eastAsia="新細明體" w:hAnsi="新細明體"/>
                <w:sz w:val="22"/>
              </w:rPr>
              <w:t>一種倒燄式還原電爐結構，其主要是設有一電爐本體，</w:t>
            </w:r>
          </w:p>
        </w:tc>
        <w:tc>
          <w:tcPr>
            <w:tcW w:w="851" w:type="dxa"/>
            <w:vAlign w:val="center"/>
          </w:tcPr>
          <w:p w:rsidR="007F63D7" w:rsidRPr="007F63D7" w:rsidRDefault="007F63D7" w:rsidP="00B04FFD">
            <w:pPr>
              <w:jc w:val="center"/>
              <w:rPr>
                <w:rFonts w:ascii="標楷體" w:hAnsi="標楷體" w:cs="新細明體"/>
                <w:kern w:val="0"/>
                <w:sz w:val="22"/>
              </w:rPr>
            </w:pPr>
            <w:r w:rsidRPr="007F63D7">
              <w:rPr>
                <w:rFonts w:ascii="標楷體" w:hAnsi="標楷體" w:cs="新細明體" w:hint="eastAsia"/>
                <w:kern w:val="0"/>
                <w:sz w:val="22"/>
              </w:rPr>
              <w:t>1a</w:t>
            </w:r>
          </w:p>
        </w:tc>
        <w:tc>
          <w:tcPr>
            <w:tcW w:w="3575" w:type="dxa"/>
          </w:tcPr>
          <w:p w:rsidR="007F63D7" w:rsidRPr="007F63D7" w:rsidRDefault="007F63D7" w:rsidP="00B04FFD">
            <w:pPr>
              <w:jc w:val="both"/>
              <w:rPr>
                <w:rFonts w:ascii="新細明體" w:eastAsia="新細明體" w:hAnsi="新細明體"/>
                <w:sz w:val="22"/>
              </w:rPr>
            </w:pPr>
            <w:r w:rsidRPr="007F63D7">
              <w:rPr>
                <w:rFonts w:ascii="新細明體" w:eastAsia="新細明體" w:hAnsi="新細明體"/>
                <w:sz w:val="22"/>
              </w:rPr>
              <w:t>一種倒燄式還原電爐結構，其主要是設有一電爐本體，</w:t>
            </w:r>
          </w:p>
        </w:tc>
        <w:tc>
          <w:tcPr>
            <w:tcW w:w="1049" w:type="dxa"/>
          </w:tcPr>
          <w:p w:rsidR="007F63D7" w:rsidRPr="007F63D7" w:rsidRDefault="007F63D7" w:rsidP="00B04FFD">
            <w:pPr>
              <w:jc w:val="center"/>
              <w:rPr>
                <w:rFonts w:ascii="Times New Roman" w:hAnsi="Times New Roman"/>
                <w:sz w:val="22"/>
              </w:rPr>
            </w:pPr>
            <w:r w:rsidRPr="007F63D7">
              <w:rPr>
                <w:rFonts w:ascii="Times New Roman" w:hAnsi="Times New Roman" w:hint="eastAsia"/>
                <w:sz w:val="22"/>
              </w:rPr>
              <w:t>是</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w:t>
            </w:r>
            <w:r w:rsidRPr="007F63D7">
              <w:rPr>
                <w:sz w:val="22"/>
              </w:rPr>
              <w:t>B</w:t>
            </w:r>
          </w:p>
        </w:tc>
        <w:tc>
          <w:tcPr>
            <w:tcW w:w="3118"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於電爐本體設有可啓閉式爐門，藉以可將陶瓷胚料等置入電爐本體內，或方便將燒烤完成之陶瓷藝品取出，</w:t>
            </w:r>
          </w:p>
        </w:tc>
        <w:tc>
          <w:tcPr>
            <w:tcW w:w="851" w:type="dxa"/>
            <w:vAlign w:val="center"/>
          </w:tcPr>
          <w:p w:rsidR="007F63D7" w:rsidRPr="007F63D7" w:rsidRDefault="007F63D7" w:rsidP="00B04FFD">
            <w:pPr>
              <w:spacing w:line="240" w:lineRule="atLeast"/>
              <w:jc w:val="center"/>
              <w:rPr>
                <w:rFonts w:ascii="標楷體" w:hAnsi="標楷體" w:cs="新細明體"/>
                <w:kern w:val="0"/>
                <w:sz w:val="22"/>
              </w:rPr>
            </w:pPr>
            <w:r w:rsidRPr="007F63D7">
              <w:rPr>
                <w:rFonts w:ascii="標楷體" w:hAnsi="標楷體" w:cs="新細明體" w:hint="eastAsia"/>
                <w:kern w:val="0"/>
                <w:sz w:val="22"/>
              </w:rPr>
              <w:t>1b</w:t>
            </w:r>
          </w:p>
        </w:tc>
        <w:tc>
          <w:tcPr>
            <w:tcW w:w="3575"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於電爐本體設有可啓閉式爐門，藉以可將陶瓷胚料等置入電爐本體內，或方便將燒烤完成之陶瓷藝品取出，</w:t>
            </w:r>
          </w:p>
        </w:tc>
        <w:tc>
          <w:tcPr>
            <w:tcW w:w="1049" w:type="dxa"/>
          </w:tcPr>
          <w:p w:rsidR="007F63D7" w:rsidRPr="007F63D7" w:rsidRDefault="007F63D7" w:rsidP="00B04FFD">
            <w:pPr>
              <w:jc w:val="center"/>
              <w:rPr>
                <w:rFonts w:ascii="Times New Roman" w:hAnsi="Times New Roman"/>
                <w:sz w:val="22"/>
              </w:rPr>
            </w:pPr>
            <w:r w:rsidRPr="007F63D7">
              <w:rPr>
                <w:rFonts w:ascii="Times New Roman" w:hAnsi="Times New Roman" w:hint="eastAsia"/>
                <w:sz w:val="22"/>
              </w:rPr>
              <w:t>是</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w:t>
            </w:r>
            <w:r w:rsidRPr="007F63D7">
              <w:rPr>
                <w:sz w:val="22"/>
              </w:rPr>
              <w:t>C</w:t>
            </w:r>
          </w:p>
        </w:tc>
        <w:tc>
          <w:tcPr>
            <w:tcW w:w="3118"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而在電爐本體內部按裝有加熱器，並藉一側控制箱預設之插頭插接電源，以供應加熱器之電源，</w:t>
            </w:r>
          </w:p>
        </w:tc>
        <w:tc>
          <w:tcPr>
            <w:tcW w:w="851" w:type="dxa"/>
            <w:vAlign w:val="center"/>
          </w:tcPr>
          <w:p w:rsidR="007F63D7" w:rsidRPr="007F63D7" w:rsidRDefault="007F63D7" w:rsidP="00B04FFD">
            <w:pPr>
              <w:spacing w:line="240" w:lineRule="atLeast"/>
              <w:jc w:val="center"/>
              <w:rPr>
                <w:rFonts w:ascii="標楷體" w:hAnsi="標楷體" w:cs="新細明體"/>
                <w:kern w:val="0"/>
                <w:sz w:val="22"/>
              </w:rPr>
            </w:pPr>
            <w:r w:rsidRPr="007F63D7">
              <w:rPr>
                <w:rFonts w:ascii="標楷體" w:hAnsi="標楷體" w:cs="新細明體" w:hint="eastAsia"/>
                <w:kern w:val="0"/>
                <w:sz w:val="22"/>
              </w:rPr>
              <w:t>1c</w:t>
            </w:r>
          </w:p>
        </w:tc>
        <w:tc>
          <w:tcPr>
            <w:tcW w:w="3575"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而在電爐本體內部按裝有加熱器，並藉一側控制箱預設之插頭插接電源，以供應加熱器之電源，</w:t>
            </w:r>
          </w:p>
        </w:tc>
        <w:tc>
          <w:tcPr>
            <w:tcW w:w="1049" w:type="dxa"/>
          </w:tcPr>
          <w:p w:rsidR="007F63D7" w:rsidRPr="007F63D7" w:rsidRDefault="007F63D7" w:rsidP="00B04FFD">
            <w:pPr>
              <w:jc w:val="center"/>
              <w:rPr>
                <w:rFonts w:ascii="Times New Roman" w:hAnsi="Times New Roman"/>
                <w:sz w:val="22"/>
              </w:rPr>
            </w:pPr>
            <w:r w:rsidRPr="007F63D7">
              <w:rPr>
                <w:rFonts w:ascii="Times New Roman" w:hAnsi="Times New Roman" w:hint="eastAsia"/>
                <w:sz w:val="22"/>
              </w:rPr>
              <w:t>是</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1D</w:t>
            </w:r>
          </w:p>
        </w:tc>
        <w:tc>
          <w:tcPr>
            <w:tcW w:w="3118"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同時由該控制箱可設定其加熱溫度與時間，俾令電爐本體內之高溫可維持一定程度，配合其時間的設定而得輕易完成陶瓷藝品的燒烤作業，依此構成此類電爐的基本功能架構;</w:t>
            </w:r>
          </w:p>
        </w:tc>
        <w:tc>
          <w:tcPr>
            <w:tcW w:w="851" w:type="dxa"/>
            <w:vAlign w:val="center"/>
          </w:tcPr>
          <w:p w:rsidR="007F63D7" w:rsidRPr="007F63D7" w:rsidRDefault="007F63D7" w:rsidP="00B04FFD">
            <w:pPr>
              <w:spacing w:line="240" w:lineRule="atLeast"/>
              <w:jc w:val="center"/>
              <w:rPr>
                <w:rFonts w:ascii="標楷體" w:hAnsi="標楷體" w:cs="新細明體"/>
                <w:kern w:val="0"/>
                <w:sz w:val="22"/>
              </w:rPr>
            </w:pPr>
            <w:r w:rsidRPr="007F63D7">
              <w:rPr>
                <w:rFonts w:ascii="標楷體" w:hAnsi="標楷體" w:cs="新細明體" w:hint="eastAsia"/>
                <w:kern w:val="0"/>
                <w:sz w:val="22"/>
              </w:rPr>
              <w:t>1d</w:t>
            </w:r>
          </w:p>
        </w:tc>
        <w:tc>
          <w:tcPr>
            <w:tcW w:w="3575" w:type="dxa"/>
          </w:tcPr>
          <w:p w:rsidR="007F63D7" w:rsidRPr="007F63D7" w:rsidRDefault="007F63D7" w:rsidP="00B04FFD">
            <w:pPr>
              <w:jc w:val="both"/>
              <w:rPr>
                <w:rFonts w:ascii="新細明體" w:eastAsia="新細明體" w:hAnsi="新細明體"/>
                <w:sz w:val="22"/>
              </w:rPr>
            </w:pPr>
            <w:r w:rsidRPr="007F63D7">
              <w:rPr>
                <w:rFonts w:ascii="新細明體" w:eastAsia="新細明體" w:hAnsi="新細明體"/>
                <w:sz w:val="22"/>
              </w:rPr>
              <w:t>同時由該控制箱可設定其加熱溫度與時間，俾令電爐本體內之高溫可維持一定程度，配合其時間的設定而得輕易完成陶瓷藝品的燒烤作業，依此構成此類電爐的基本功能架構;</w:t>
            </w:r>
          </w:p>
        </w:tc>
        <w:tc>
          <w:tcPr>
            <w:tcW w:w="1049" w:type="dxa"/>
          </w:tcPr>
          <w:p w:rsidR="007F63D7" w:rsidRPr="007F63D7" w:rsidRDefault="007F63D7" w:rsidP="00B04FFD">
            <w:pPr>
              <w:jc w:val="center"/>
              <w:rPr>
                <w:rFonts w:ascii="Times New Roman" w:hAnsi="Times New Roman"/>
                <w:sz w:val="22"/>
              </w:rPr>
            </w:pPr>
            <w:r w:rsidRPr="007F63D7">
              <w:rPr>
                <w:rFonts w:ascii="Times New Roman" w:hAnsi="Times New Roman" w:hint="eastAsia"/>
                <w:sz w:val="22"/>
              </w:rPr>
              <w:t>是</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1E</w:t>
            </w:r>
          </w:p>
        </w:tc>
        <w:tc>
          <w:tcPr>
            <w:tcW w:w="3118"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其改良係在於:該電爐本體的底部乃增設有兩個通孔以組設兩組燃燒器，利用該等燃燒器得以燃耗電爐本體內之氧氣，</w:t>
            </w:r>
          </w:p>
        </w:tc>
        <w:tc>
          <w:tcPr>
            <w:tcW w:w="851" w:type="dxa"/>
            <w:vAlign w:val="center"/>
          </w:tcPr>
          <w:p w:rsidR="007F63D7" w:rsidRPr="007F63D7" w:rsidRDefault="007F63D7" w:rsidP="00B04FFD">
            <w:pPr>
              <w:spacing w:line="240" w:lineRule="atLeast"/>
              <w:jc w:val="center"/>
              <w:rPr>
                <w:rFonts w:ascii="標楷體" w:hAnsi="標楷體" w:cs="新細明體"/>
                <w:kern w:val="0"/>
                <w:sz w:val="22"/>
              </w:rPr>
            </w:pPr>
            <w:r w:rsidRPr="007F63D7">
              <w:rPr>
                <w:rFonts w:ascii="標楷體" w:hAnsi="標楷體" w:cs="新細明體" w:hint="eastAsia"/>
                <w:kern w:val="0"/>
                <w:sz w:val="22"/>
              </w:rPr>
              <w:t>1e</w:t>
            </w:r>
          </w:p>
        </w:tc>
        <w:tc>
          <w:tcPr>
            <w:tcW w:w="3575" w:type="dxa"/>
          </w:tcPr>
          <w:p w:rsidR="007F63D7" w:rsidRPr="007F63D7" w:rsidRDefault="007F63D7" w:rsidP="00B04FFD">
            <w:pPr>
              <w:jc w:val="both"/>
              <w:rPr>
                <w:rFonts w:ascii="新細明體" w:eastAsia="新細明體" w:hAnsi="新細明體"/>
                <w:sz w:val="22"/>
              </w:rPr>
            </w:pPr>
            <w:r w:rsidRPr="007F63D7">
              <w:rPr>
                <w:rFonts w:ascii="新細明體" w:eastAsia="新細明體" w:hAnsi="新細明體"/>
                <w:sz w:val="22"/>
              </w:rPr>
              <w:t>該電爐本體的底部乃增設有</w:t>
            </w:r>
            <w:r w:rsidRPr="007F63D7">
              <w:rPr>
                <w:rFonts w:ascii="新細明體" w:eastAsia="新細明體" w:hAnsi="新細明體" w:hint="eastAsia"/>
                <w:sz w:val="22"/>
              </w:rPr>
              <w:t>二</w:t>
            </w:r>
            <w:r w:rsidRPr="007F63D7">
              <w:rPr>
                <w:rFonts w:ascii="新細明體" w:eastAsia="新細明體" w:hAnsi="新細明體"/>
                <w:sz w:val="22"/>
              </w:rPr>
              <w:t>個通孔以組設</w:t>
            </w:r>
            <w:r w:rsidRPr="007F63D7">
              <w:rPr>
                <w:rFonts w:ascii="新細明體" w:eastAsia="新細明體" w:hAnsi="新細明體" w:hint="eastAsia"/>
                <w:sz w:val="22"/>
              </w:rPr>
              <w:t>二</w:t>
            </w:r>
            <w:r w:rsidRPr="007F63D7">
              <w:rPr>
                <w:rFonts w:ascii="新細明體" w:eastAsia="新細明體" w:hAnsi="新細明體"/>
                <w:sz w:val="22"/>
              </w:rPr>
              <w:t>組燃燒器，利用該等燃燒器得以燃耗電爐本體內之氧氣，</w:t>
            </w:r>
          </w:p>
        </w:tc>
        <w:tc>
          <w:tcPr>
            <w:tcW w:w="1049" w:type="dxa"/>
          </w:tcPr>
          <w:p w:rsidR="007F63D7" w:rsidRPr="007F63D7" w:rsidRDefault="007F63D7" w:rsidP="00B04FFD">
            <w:pPr>
              <w:jc w:val="center"/>
              <w:rPr>
                <w:rFonts w:ascii="Times New Roman" w:hAnsi="Times New Roman"/>
                <w:color w:val="FF0000"/>
                <w:sz w:val="22"/>
              </w:rPr>
            </w:pPr>
            <w:r w:rsidRPr="007F63D7">
              <w:rPr>
                <w:rFonts w:ascii="Times New Roman" w:hAnsi="Times New Roman" w:hint="eastAsia"/>
                <w:sz w:val="22"/>
              </w:rPr>
              <w:t>是</w:t>
            </w:r>
          </w:p>
        </w:tc>
      </w:tr>
      <w:tr w:rsidR="007F63D7" w:rsidRPr="007F63D7" w:rsidTr="00B04FFD">
        <w:tc>
          <w:tcPr>
            <w:tcW w:w="855" w:type="dxa"/>
            <w:vAlign w:val="center"/>
          </w:tcPr>
          <w:p w:rsidR="007F63D7" w:rsidRPr="007F63D7" w:rsidRDefault="007F63D7" w:rsidP="00B04FFD">
            <w:pPr>
              <w:spacing w:line="0" w:lineRule="atLeast"/>
              <w:jc w:val="center"/>
              <w:rPr>
                <w:sz w:val="22"/>
              </w:rPr>
            </w:pPr>
            <w:r w:rsidRPr="007F63D7">
              <w:rPr>
                <w:rFonts w:hint="eastAsia"/>
                <w:sz w:val="22"/>
              </w:rPr>
              <w:t>1F</w:t>
            </w:r>
          </w:p>
        </w:tc>
        <w:tc>
          <w:tcPr>
            <w:tcW w:w="3118"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又在該電爐本體底部相對於二燃燒器間之中央部位另</w:t>
            </w:r>
            <w:r w:rsidRPr="007F63D7">
              <w:rPr>
                <w:rFonts w:ascii="新細明體" w:eastAsia="新細明體" w:hAnsi="新細明體"/>
                <w:color w:val="000000"/>
                <w:sz w:val="22"/>
              </w:rPr>
              <w:t>凹設有一槽室，於槽室後側設有一出氣孔，該出氣孔並以一氣管外接於一抽氣系統，以該抽氣系統得將電爐本體內部之空氣往外抽排而構成氣流循環效果，</w:t>
            </w:r>
            <w:r w:rsidRPr="007F63D7">
              <w:rPr>
                <w:rFonts w:ascii="新細明體" w:eastAsia="新細明體" w:hAnsi="新細明體"/>
                <w:sz w:val="22"/>
              </w:rPr>
              <w:t>據以使燃燒器得以持續燃燒以將電爐本體內之氧氣燒耗殆盡而呈缺氧狀態，從而可有效避免氧氣與釉料發生化學作用而衍生陶瓷燒烤色差問題者。</w:t>
            </w:r>
          </w:p>
        </w:tc>
        <w:tc>
          <w:tcPr>
            <w:tcW w:w="851" w:type="dxa"/>
            <w:vAlign w:val="center"/>
          </w:tcPr>
          <w:p w:rsidR="007F63D7" w:rsidRPr="007F63D7" w:rsidRDefault="007F63D7" w:rsidP="00B04FFD">
            <w:pPr>
              <w:spacing w:line="240" w:lineRule="atLeast"/>
              <w:jc w:val="center"/>
              <w:rPr>
                <w:rFonts w:ascii="標楷體" w:hAnsi="標楷體" w:cs="新細明體"/>
                <w:kern w:val="0"/>
                <w:sz w:val="22"/>
              </w:rPr>
            </w:pPr>
            <w:r w:rsidRPr="007F63D7">
              <w:rPr>
                <w:rFonts w:ascii="標楷體" w:hAnsi="標楷體" w:cs="新細明體" w:hint="eastAsia"/>
                <w:kern w:val="0"/>
                <w:sz w:val="22"/>
              </w:rPr>
              <w:t>1f</w:t>
            </w:r>
          </w:p>
        </w:tc>
        <w:tc>
          <w:tcPr>
            <w:tcW w:w="3575" w:type="dxa"/>
          </w:tcPr>
          <w:p w:rsidR="007F63D7" w:rsidRPr="007F63D7" w:rsidRDefault="007F63D7" w:rsidP="00B04FFD">
            <w:pPr>
              <w:spacing w:line="240" w:lineRule="atLeast"/>
              <w:jc w:val="both"/>
              <w:rPr>
                <w:rFonts w:ascii="新細明體" w:eastAsia="新細明體" w:hAnsi="新細明體"/>
                <w:sz w:val="22"/>
              </w:rPr>
            </w:pPr>
            <w:r w:rsidRPr="007F63D7">
              <w:rPr>
                <w:rFonts w:ascii="新細明體" w:eastAsia="新細明體" w:hAnsi="新細明體"/>
                <w:sz w:val="22"/>
              </w:rPr>
              <w:t>在該電爐本體底部相對於二燃燒器間之中央部位</w:t>
            </w:r>
            <w:r w:rsidRPr="007F63D7">
              <w:rPr>
                <w:rFonts w:ascii="新細明體" w:eastAsia="新細明體" w:hAnsi="新細明體" w:hint="eastAsia"/>
                <w:color w:val="000000"/>
                <w:sz w:val="22"/>
              </w:rPr>
              <w:t>設一通孔，以一連通管連通至一設於電爐本體底部下方側緣之矩形槽室，於矩形</w:t>
            </w:r>
            <w:r w:rsidRPr="007F63D7">
              <w:rPr>
                <w:rFonts w:ascii="新細明體" w:eastAsia="新細明體" w:hAnsi="新細明體"/>
                <w:color w:val="000000"/>
                <w:sz w:val="22"/>
              </w:rPr>
              <w:t>槽室後側設有一出氣孔</w:t>
            </w:r>
            <w:r w:rsidRPr="007F63D7">
              <w:rPr>
                <w:rFonts w:ascii="新細明體" w:eastAsia="新細明體" w:hAnsi="新細明體" w:hint="eastAsia"/>
                <w:color w:val="000000"/>
                <w:sz w:val="22"/>
              </w:rPr>
              <w:t>，該</w:t>
            </w:r>
            <w:r w:rsidRPr="007F63D7">
              <w:rPr>
                <w:rFonts w:ascii="新細明體" w:eastAsia="新細明體" w:hAnsi="新細明體"/>
                <w:color w:val="000000"/>
                <w:sz w:val="22"/>
              </w:rPr>
              <w:t>出氣孔</w:t>
            </w:r>
            <w:r w:rsidRPr="007F63D7">
              <w:rPr>
                <w:rFonts w:ascii="新細明體" w:eastAsia="新細明體" w:hAnsi="新細明體" w:hint="eastAsia"/>
                <w:color w:val="000000"/>
                <w:sz w:val="22"/>
              </w:rPr>
              <w:t>組設一抽風機，該抽風機並外接一氣管</w:t>
            </w:r>
            <w:r w:rsidRPr="007F63D7">
              <w:rPr>
                <w:rFonts w:ascii="新細明體" w:eastAsia="新細明體" w:hAnsi="新細明體"/>
                <w:sz w:val="22"/>
              </w:rPr>
              <w:t>。</w:t>
            </w:r>
          </w:p>
        </w:tc>
        <w:tc>
          <w:tcPr>
            <w:tcW w:w="1049" w:type="dxa"/>
          </w:tcPr>
          <w:p w:rsidR="007F63D7" w:rsidRPr="00AB5FD9" w:rsidRDefault="007F63D7" w:rsidP="00B04FFD">
            <w:pPr>
              <w:jc w:val="center"/>
              <w:rPr>
                <w:rFonts w:ascii="Times New Roman" w:hAnsi="Times New Roman"/>
                <w:b/>
                <w:sz w:val="22"/>
              </w:rPr>
            </w:pPr>
            <w:r w:rsidRPr="00AB5FD9">
              <w:rPr>
                <w:rFonts w:ascii="Times New Roman" w:hAnsi="Times New Roman" w:hint="eastAsia"/>
                <w:b/>
                <w:sz w:val="22"/>
              </w:rPr>
              <w:t>否</w:t>
            </w:r>
          </w:p>
        </w:tc>
      </w:tr>
    </w:tbl>
    <w:p w:rsidR="00856BBA" w:rsidRDefault="00856BBA">
      <w:pPr>
        <w:rPr>
          <w:rFonts w:hint="eastAsia"/>
        </w:rPr>
      </w:pPr>
    </w:p>
    <w:p w:rsidR="00AB5FD9" w:rsidRDefault="00AB5FD9">
      <w:pPr>
        <w:rPr>
          <w:rFonts w:hint="eastAsia"/>
        </w:rPr>
      </w:pPr>
    </w:p>
    <w:p w:rsidR="00AB5FD9" w:rsidRPr="00CA2B79" w:rsidRDefault="00AB5FD9"/>
    <w:p w:rsidR="00050826" w:rsidRPr="00CD4E36" w:rsidRDefault="00AB5FD9" w:rsidP="00050826">
      <w:pPr>
        <w:rPr>
          <w:rFonts w:ascii="標楷體" w:eastAsia="標楷體" w:hAnsi="標楷體"/>
        </w:rPr>
      </w:pPr>
      <w:r>
        <w:rPr>
          <w:rFonts w:ascii="標楷體" w:eastAsia="標楷體" w:hAnsi="標楷體" w:hint="eastAsia"/>
        </w:rPr>
        <w:lastRenderedPageBreak/>
        <w:t>附表二</w:t>
      </w:r>
    </w:p>
    <w:p w:rsidR="00856BBA" w:rsidRPr="00D5690B" w:rsidRDefault="00D5690B">
      <w:pPr>
        <w:rPr>
          <w:rFonts w:ascii="標楷體" w:eastAsia="標楷體" w:hAnsi="標楷體"/>
        </w:rPr>
      </w:pPr>
      <w:r w:rsidRPr="00D5690B">
        <w:rPr>
          <w:rFonts w:ascii="標楷體" w:eastAsia="標楷體" w:hAnsi="標楷體" w:hint="eastAsia"/>
          <w:bCs/>
        </w:rPr>
        <w:t>系爭產品</w:t>
      </w:r>
      <w:r w:rsidR="00AB5FD9">
        <w:rPr>
          <w:rFonts w:ascii="標楷體" w:eastAsia="標楷體" w:hAnsi="標楷體"/>
          <w:bCs/>
        </w:rPr>
        <w:t>與系爭專利</w:t>
      </w:r>
      <w:r w:rsidR="00AB5FD9">
        <w:rPr>
          <w:rFonts w:ascii="標楷體" w:eastAsia="標楷體" w:hAnsi="標楷體" w:hint="eastAsia"/>
          <w:bCs/>
        </w:rPr>
        <w:t>申請專利範圍第</w:t>
      </w:r>
      <w:r w:rsidRPr="00D5690B">
        <w:rPr>
          <w:rFonts w:ascii="標楷體" w:eastAsia="標楷體" w:hAnsi="標楷體"/>
          <w:bCs/>
        </w:rPr>
        <w:t>1</w:t>
      </w:r>
      <w:r w:rsidR="00AB5FD9">
        <w:rPr>
          <w:rFonts w:ascii="標楷體" w:eastAsia="標楷體" w:hAnsi="標楷體" w:hint="eastAsia"/>
          <w:bCs/>
        </w:rPr>
        <w:t>項</w:t>
      </w:r>
      <w:r w:rsidRPr="00D5690B">
        <w:rPr>
          <w:rFonts w:ascii="標楷體" w:eastAsia="標楷體" w:hAnsi="標楷體"/>
          <w:bCs/>
        </w:rPr>
        <w:t>要件編號</w:t>
      </w:r>
      <w:r w:rsidRPr="00D5690B">
        <w:rPr>
          <w:rFonts w:ascii="標楷體" w:eastAsia="標楷體" w:hAnsi="標楷體" w:hint="eastAsia"/>
          <w:bCs/>
        </w:rPr>
        <w:t>1F</w:t>
      </w:r>
      <w:r w:rsidRPr="00D5690B">
        <w:rPr>
          <w:rFonts w:ascii="標楷體" w:eastAsia="標楷體" w:hAnsi="標楷體"/>
          <w:bCs/>
        </w:rPr>
        <w:t>之均等比對分析</w:t>
      </w:r>
      <w:r w:rsidR="00A16AA3">
        <w:rPr>
          <w:rFonts w:ascii="標楷體" w:eastAsia="標楷體" w:hAnsi="標楷體" w:hint="eastAsia"/>
          <w:bCs/>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880"/>
        <w:gridCol w:w="2880"/>
        <w:gridCol w:w="1034"/>
      </w:tblGrid>
      <w:tr w:rsidR="00D5690B" w:rsidRPr="00937D70" w:rsidTr="00B04FFD">
        <w:trPr>
          <w:jc w:val="center"/>
        </w:trPr>
        <w:tc>
          <w:tcPr>
            <w:tcW w:w="1728" w:type="dxa"/>
            <w:tcBorders>
              <w:top w:val="single" w:sz="12" w:space="0" w:color="auto"/>
              <w:left w:val="single" w:sz="12" w:space="0" w:color="auto"/>
              <w:bottom w:val="single" w:sz="12" w:space="0" w:color="auto"/>
              <w:tl2br w:val="single" w:sz="4" w:space="0" w:color="auto"/>
            </w:tcBorders>
            <w:shd w:val="clear" w:color="auto" w:fill="E0E0E0"/>
            <w:vAlign w:val="center"/>
          </w:tcPr>
          <w:p w:rsidR="00D5690B" w:rsidRPr="00937D70" w:rsidRDefault="00D5690B" w:rsidP="00B04FFD">
            <w:pPr>
              <w:pStyle w:val="Level3"/>
              <w:numPr>
                <w:ilvl w:val="0"/>
                <w:numId w:val="0"/>
              </w:numPr>
              <w:spacing w:beforeLines="0" w:line="0" w:lineRule="atLeast"/>
              <w:jc w:val="center"/>
            </w:pPr>
          </w:p>
        </w:tc>
        <w:tc>
          <w:tcPr>
            <w:tcW w:w="2880" w:type="dxa"/>
            <w:tcBorders>
              <w:top w:val="single" w:sz="12" w:space="0" w:color="auto"/>
              <w:bottom w:val="single" w:sz="12" w:space="0" w:color="auto"/>
            </w:tcBorders>
            <w:shd w:val="clear" w:color="auto" w:fill="E0E0E0"/>
            <w:vAlign w:val="center"/>
          </w:tcPr>
          <w:p w:rsidR="00D5690B" w:rsidRPr="00937D70" w:rsidRDefault="000A38EA" w:rsidP="000A38EA">
            <w:pPr>
              <w:pStyle w:val="Level3"/>
              <w:numPr>
                <w:ilvl w:val="0"/>
                <w:numId w:val="0"/>
              </w:numPr>
              <w:spacing w:beforeLines="0" w:line="0" w:lineRule="atLeast"/>
            </w:pPr>
            <w:r>
              <w:t>系爭專利</w:t>
            </w:r>
            <w:r>
              <w:rPr>
                <w:rFonts w:hint="eastAsia"/>
              </w:rPr>
              <w:t>申請專利範圍第</w:t>
            </w:r>
            <w:r w:rsidR="00D5690B" w:rsidRPr="00937D70">
              <w:t>1</w:t>
            </w:r>
            <w:r>
              <w:rPr>
                <w:rFonts w:hint="eastAsia"/>
              </w:rPr>
              <w:t>項</w:t>
            </w:r>
            <w:r w:rsidR="00D5690B" w:rsidRPr="00937D70">
              <w:t>要件編號</w:t>
            </w:r>
            <w:r w:rsidR="00D5690B">
              <w:rPr>
                <w:rFonts w:hint="eastAsia"/>
              </w:rPr>
              <w:t>1F</w:t>
            </w:r>
          </w:p>
        </w:tc>
        <w:tc>
          <w:tcPr>
            <w:tcW w:w="2880" w:type="dxa"/>
            <w:tcBorders>
              <w:top w:val="single" w:sz="12" w:space="0" w:color="auto"/>
              <w:bottom w:val="single" w:sz="12" w:space="0" w:color="auto"/>
            </w:tcBorders>
            <w:shd w:val="clear" w:color="auto" w:fill="E0E0E0"/>
            <w:vAlign w:val="center"/>
          </w:tcPr>
          <w:p w:rsidR="00D5690B" w:rsidRPr="00937D70" w:rsidRDefault="00D5690B" w:rsidP="00B04FFD">
            <w:pPr>
              <w:pStyle w:val="Level3"/>
              <w:numPr>
                <w:ilvl w:val="0"/>
                <w:numId w:val="0"/>
              </w:numPr>
              <w:spacing w:beforeLines="0" w:line="0" w:lineRule="atLeast"/>
              <w:jc w:val="distribute"/>
            </w:pPr>
            <w:r>
              <w:rPr>
                <w:rFonts w:hint="eastAsia"/>
              </w:rPr>
              <w:t>系爭產品</w:t>
            </w:r>
          </w:p>
          <w:p w:rsidR="00D5690B" w:rsidRPr="00937D70" w:rsidRDefault="00D5690B" w:rsidP="00B04FFD">
            <w:pPr>
              <w:pStyle w:val="Level3"/>
              <w:numPr>
                <w:ilvl w:val="0"/>
                <w:numId w:val="0"/>
              </w:numPr>
              <w:spacing w:beforeLines="0" w:line="0" w:lineRule="atLeast"/>
              <w:jc w:val="distribute"/>
            </w:pPr>
            <w:r w:rsidRPr="00937D70">
              <w:t>要件編號</w:t>
            </w:r>
            <w:r>
              <w:rPr>
                <w:rFonts w:hint="eastAsia"/>
              </w:rPr>
              <w:t>1f</w:t>
            </w:r>
          </w:p>
        </w:tc>
        <w:tc>
          <w:tcPr>
            <w:tcW w:w="1034" w:type="dxa"/>
            <w:tcBorders>
              <w:top w:val="single" w:sz="12" w:space="0" w:color="auto"/>
              <w:bottom w:val="single" w:sz="12" w:space="0" w:color="auto"/>
              <w:right w:val="single" w:sz="12" w:space="0" w:color="auto"/>
            </w:tcBorders>
            <w:shd w:val="clear" w:color="auto" w:fill="E0E0E0"/>
            <w:vAlign w:val="center"/>
          </w:tcPr>
          <w:p w:rsidR="00D5690B" w:rsidRPr="00937D70" w:rsidRDefault="00D5690B" w:rsidP="00B04FFD">
            <w:pPr>
              <w:pStyle w:val="Level3"/>
              <w:numPr>
                <w:ilvl w:val="0"/>
                <w:numId w:val="0"/>
              </w:numPr>
              <w:spacing w:beforeLines="0" w:line="0" w:lineRule="atLeast"/>
              <w:jc w:val="distribute"/>
            </w:pPr>
            <w:r w:rsidRPr="00937D70">
              <w:t>是否相同</w:t>
            </w:r>
          </w:p>
        </w:tc>
      </w:tr>
      <w:tr w:rsidR="00D5690B" w:rsidRPr="00937D70" w:rsidTr="00B04FFD">
        <w:trPr>
          <w:jc w:val="center"/>
        </w:trPr>
        <w:tc>
          <w:tcPr>
            <w:tcW w:w="1728" w:type="dxa"/>
            <w:tcBorders>
              <w:top w:val="single" w:sz="12" w:space="0" w:color="auto"/>
              <w:left w:val="single" w:sz="12" w:space="0" w:color="auto"/>
            </w:tcBorders>
            <w:vAlign w:val="center"/>
          </w:tcPr>
          <w:p w:rsidR="00D5690B" w:rsidRPr="00937D70" w:rsidRDefault="00D5690B" w:rsidP="00B04FFD">
            <w:pPr>
              <w:pStyle w:val="Level3"/>
              <w:numPr>
                <w:ilvl w:val="0"/>
                <w:numId w:val="0"/>
              </w:numPr>
              <w:spacing w:beforeLines="0" w:line="0" w:lineRule="atLeast"/>
              <w:jc w:val="distribute"/>
            </w:pPr>
            <w:r w:rsidRPr="00937D70">
              <w:t>技術特徵</w:t>
            </w:r>
          </w:p>
          <w:p w:rsidR="00D5690B" w:rsidRPr="00937D70" w:rsidRDefault="00D5690B" w:rsidP="00B04FFD">
            <w:pPr>
              <w:pStyle w:val="Level3"/>
              <w:numPr>
                <w:ilvl w:val="0"/>
                <w:numId w:val="0"/>
              </w:numPr>
              <w:spacing w:beforeLines="0" w:line="0" w:lineRule="atLeast"/>
              <w:jc w:val="distribute"/>
            </w:pPr>
            <w:r w:rsidRPr="00937D70">
              <w:t>之差異</w:t>
            </w:r>
          </w:p>
        </w:tc>
        <w:tc>
          <w:tcPr>
            <w:tcW w:w="2880" w:type="dxa"/>
            <w:tcBorders>
              <w:top w:val="single" w:sz="12" w:space="0" w:color="auto"/>
            </w:tcBorders>
          </w:tcPr>
          <w:p w:rsidR="00D5690B" w:rsidRPr="001668A1" w:rsidRDefault="00D5690B" w:rsidP="00B04FFD">
            <w:pPr>
              <w:pStyle w:val="Level3"/>
              <w:numPr>
                <w:ilvl w:val="0"/>
                <w:numId w:val="0"/>
              </w:numPr>
              <w:spacing w:beforeLines="0" w:line="0" w:lineRule="atLeast"/>
              <w:ind w:left="1"/>
              <w:jc w:val="both"/>
              <w:rPr>
                <w:b w:val="0"/>
                <w:color w:val="000000"/>
                <w:sz w:val="24"/>
              </w:rPr>
            </w:pPr>
            <w:r w:rsidRPr="001668A1">
              <w:rPr>
                <w:b w:val="0"/>
                <w:sz w:val="24"/>
              </w:rPr>
              <w:t>又在該電爐本體底部相對於二燃燒器間之中央部位另凹設有一槽室，於槽室後側設有一出氣孔，該出氣孔並以一氣管外接於一抽氣系統，以該抽氣系統得將電爐本體內部之空氣往外抽排而構成氣流循環效果，據以使燃燒器得以持續燃燒以將電爐本體內之氧氣燒耗殆盡而呈缺氧狀態，從而可有效避免氧氣與釉料發生化學作用而衍生陶瓷燒烤色差問題者</w:t>
            </w:r>
          </w:p>
        </w:tc>
        <w:tc>
          <w:tcPr>
            <w:tcW w:w="2880" w:type="dxa"/>
            <w:tcBorders>
              <w:top w:val="single" w:sz="12" w:space="0" w:color="auto"/>
            </w:tcBorders>
          </w:tcPr>
          <w:p w:rsidR="00D5690B" w:rsidRPr="00725578" w:rsidRDefault="00D5690B" w:rsidP="00B04FFD">
            <w:pPr>
              <w:pStyle w:val="Level3"/>
              <w:numPr>
                <w:ilvl w:val="0"/>
                <w:numId w:val="0"/>
              </w:numPr>
              <w:spacing w:beforeLines="0" w:line="0" w:lineRule="atLeast"/>
              <w:ind w:left="1"/>
              <w:jc w:val="both"/>
              <w:rPr>
                <w:b w:val="0"/>
                <w:color w:val="000000"/>
                <w:sz w:val="24"/>
              </w:rPr>
            </w:pPr>
            <w:r w:rsidRPr="00725578">
              <w:rPr>
                <w:rFonts w:ascii="標楷體" w:hAnsi="標楷體"/>
                <w:b w:val="0"/>
                <w:color w:val="000000"/>
                <w:sz w:val="24"/>
              </w:rPr>
              <w:t>在該電爐本體底部相對於二燃燒器間之中央部位</w:t>
            </w:r>
            <w:r w:rsidRPr="00725578">
              <w:rPr>
                <w:rFonts w:ascii="標楷體" w:hAnsi="標楷體" w:hint="eastAsia"/>
                <w:b w:val="0"/>
                <w:color w:val="000000"/>
                <w:sz w:val="24"/>
              </w:rPr>
              <w:t>設一通孔，以一連通管連通至一設於電爐本體底部下方側緣之矩形槽室，於矩形</w:t>
            </w:r>
            <w:r w:rsidRPr="00725578">
              <w:rPr>
                <w:rFonts w:ascii="標楷體" w:hAnsi="標楷體"/>
                <w:b w:val="0"/>
                <w:color w:val="000000"/>
                <w:sz w:val="24"/>
              </w:rPr>
              <w:t>槽室後側設有一出氣孔</w:t>
            </w:r>
            <w:r w:rsidRPr="00725578">
              <w:rPr>
                <w:rFonts w:ascii="標楷體" w:hAnsi="標楷體" w:hint="eastAsia"/>
                <w:b w:val="0"/>
                <w:color w:val="000000"/>
                <w:sz w:val="24"/>
              </w:rPr>
              <w:t>，該</w:t>
            </w:r>
            <w:r w:rsidRPr="00725578">
              <w:rPr>
                <w:rFonts w:ascii="標楷體" w:hAnsi="標楷體"/>
                <w:b w:val="0"/>
                <w:color w:val="000000"/>
                <w:sz w:val="24"/>
              </w:rPr>
              <w:t>出氣孔</w:t>
            </w:r>
            <w:r w:rsidRPr="00725578">
              <w:rPr>
                <w:rFonts w:ascii="標楷體" w:hAnsi="標楷體" w:hint="eastAsia"/>
                <w:b w:val="0"/>
                <w:color w:val="000000"/>
                <w:sz w:val="24"/>
              </w:rPr>
              <w:t>組設一抽風機，該抽風機並外接一氣管</w:t>
            </w:r>
          </w:p>
        </w:tc>
        <w:tc>
          <w:tcPr>
            <w:tcW w:w="1034" w:type="dxa"/>
            <w:tcBorders>
              <w:top w:val="single" w:sz="12" w:space="0" w:color="auto"/>
              <w:right w:val="single" w:sz="12" w:space="0" w:color="auto"/>
            </w:tcBorders>
            <w:vAlign w:val="center"/>
          </w:tcPr>
          <w:p w:rsidR="00D5690B" w:rsidRPr="00937D70" w:rsidRDefault="00D5690B" w:rsidP="00B04FFD">
            <w:pPr>
              <w:pStyle w:val="Level3"/>
              <w:numPr>
                <w:ilvl w:val="0"/>
                <w:numId w:val="0"/>
              </w:numPr>
              <w:spacing w:beforeLines="0" w:line="0" w:lineRule="atLeast"/>
              <w:jc w:val="center"/>
            </w:pPr>
            <w:r w:rsidRPr="00937D70">
              <w:t>－</w:t>
            </w:r>
          </w:p>
        </w:tc>
      </w:tr>
      <w:tr w:rsidR="00D5690B" w:rsidRPr="00937D70" w:rsidTr="00B04FFD">
        <w:trPr>
          <w:jc w:val="center"/>
        </w:trPr>
        <w:tc>
          <w:tcPr>
            <w:tcW w:w="1728" w:type="dxa"/>
            <w:tcBorders>
              <w:left w:val="single" w:sz="12" w:space="0" w:color="auto"/>
            </w:tcBorders>
            <w:vAlign w:val="center"/>
          </w:tcPr>
          <w:p w:rsidR="00D5690B" w:rsidRPr="00937D70" w:rsidRDefault="00D5690B" w:rsidP="00B04FFD">
            <w:pPr>
              <w:pStyle w:val="Level3"/>
              <w:numPr>
                <w:ilvl w:val="0"/>
                <w:numId w:val="0"/>
              </w:numPr>
              <w:spacing w:beforeLines="0" w:line="0" w:lineRule="atLeast"/>
              <w:jc w:val="distribute"/>
            </w:pPr>
            <w:r w:rsidRPr="00937D70">
              <w:t>技術手段</w:t>
            </w:r>
          </w:p>
          <w:p w:rsidR="00D5690B" w:rsidRPr="00937D70" w:rsidRDefault="00D5690B" w:rsidP="00B04FFD">
            <w:pPr>
              <w:pStyle w:val="Level3"/>
              <w:numPr>
                <w:ilvl w:val="0"/>
                <w:numId w:val="0"/>
              </w:numPr>
              <w:spacing w:beforeLines="0" w:line="0" w:lineRule="atLeast"/>
              <w:jc w:val="distribute"/>
            </w:pPr>
            <w:r w:rsidRPr="00937D70">
              <w:t>（</w:t>
            </w:r>
            <w:r w:rsidRPr="00937D70">
              <w:t>way</w:t>
            </w:r>
            <w:r w:rsidRPr="00937D70">
              <w:t>）</w:t>
            </w:r>
          </w:p>
        </w:tc>
        <w:tc>
          <w:tcPr>
            <w:tcW w:w="2880" w:type="dxa"/>
          </w:tcPr>
          <w:p w:rsidR="00D5690B" w:rsidRPr="00725578" w:rsidRDefault="00D5690B" w:rsidP="00B04FFD">
            <w:pPr>
              <w:pStyle w:val="Level3"/>
              <w:numPr>
                <w:ilvl w:val="0"/>
                <w:numId w:val="0"/>
              </w:numPr>
              <w:spacing w:beforeLines="0" w:line="0" w:lineRule="atLeast"/>
              <w:jc w:val="both"/>
              <w:rPr>
                <w:b w:val="0"/>
                <w:color w:val="000000"/>
                <w:sz w:val="24"/>
              </w:rPr>
            </w:pPr>
            <w:r w:rsidRPr="00725578">
              <w:rPr>
                <w:rFonts w:ascii="標楷體" w:hAnsi="標楷體"/>
                <w:b w:val="0"/>
                <w:color w:val="000000"/>
                <w:sz w:val="24"/>
              </w:rPr>
              <w:t>在該電爐本體底部相對於二燃燒器間之中央部位另凹設有一槽室，於槽室後側設有一出氣孔，該出氣孔並以一氣管外接於一抽氣系統</w:t>
            </w:r>
          </w:p>
        </w:tc>
        <w:tc>
          <w:tcPr>
            <w:tcW w:w="2880" w:type="dxa"/>
          </w:tcPr>
          <w:p w:rsidR="00D5690B" w:rsidRPr="00725578" w:rsidRDefault="00D5690B" w:rsidP="00B04FFD">
            <w:pPr>
              <w:pStyle w:val="Level3"/>
              <w:numPr>
                <w:ilvl w:val="0"/>
                <w:numId w:val="0"/>
              </w:numPr>
              <w:spacing w:beforeLines="0" w:line="0" w:lineRule="atLeast"/>
              <w:jc w:val="both"/>
              <w:rPr>
                <w:b w:val="0"/>
                <w:color w:val="000000"/>
                <w:sz w:val="24"/>
              </w:rPr>
            </w:pPr>
            <w:r w:rsidRPr="00725578">
              <w:rPr>
                <w:rFonts w:ascii="標楷體" w:hAnsi="標楷體"/>
                <w:b w:val="0"/>
                <w:color w:val="000000"/>
                <w:sz w:val="24"/>
              </w:rPr>
              <w:t>在該電爐本體底部相對於二燃燒器間之中央部位</w:t>
            </w:r>
            <w:r w:rsidRPr="00725578">
              <w:rPr>
                <w:rFonts w:ascii="標楷體" w:hAnsi="標楷體" w:hint="eastAsia"/>
                <w:b w:val="0"/>
                <w:color w:val="000000"/>
                <w:sz w:val="24"/>
              </w:rPr>
              <w:t>設一通孔，以一連通管連通至一設於電爐本體底部下方側緣之矩形槽室，於矩形</w:t>
            </w:r>
            <w:r w:rsidRPr="00725578">
              <w:rPr>
                <w:rFonts w:ascii="標楷體" w:hAnsi="標楷體"/>
                <w:b w:val="0"/>
                <w:color w:val="000000"/>
                <w:sz w:val="24"/>
              </w:rPr>
              <w:t>槽室後側設有一出氣孔</w:t>
            </w:r>
            <w:r w:rsidRPr="00725578">
              <w:rPr>
                <w:rFonts w:ascii="標楷體" w:hAnsi="標楷體" w:hint="eastAsia"/>
                <w:b w:val="0"/>
                <w:color w:val="000000"/>
                <w:sz w:val="24"/>
              </w:rPr>
              <w:t>，該</w:t>
            </w:r>
            <w:r w:rsidRPr="00725578">
              <w:rPr>
                <w:rFonts w:ascii="標楷體" w:hAnsi="標楷體"/>
                <w:b w:val="0"/>
                <w:color w:val="000000"/>
                <w:sz w:val="24"/>
              </w:rPr>
              <w:t>出氣孔</w:t>
            </w:r>
            <w:r w:rsidRPr="00725578">
              <w:rPr>
                <w:rFonts w:ascii="標楷體" w:hAnsi="標楷體" w:hint="eastAsia"/>
                <w:b w:val="0"/>
                <w:color w:val="000000"/>
                <w:sz w:val="24"/>
              </w:rPr>
              <w:t>組設一抽風機，該抽風機並外接一氣管</w:t>
            </w:r>
          </w:p>
        </w:tc>
        <w:tc>
          <w:tcPr>
            <w:tcW w:w="1034" w:type="dxa"/>
            <w:tcBorders>
              <w:right w:val="single" w:sz="12" w:space="0" w:color="auto"/>
            </w:tcBorders>
            <w:vAlign w:val="center"/>
          </w:tcPr>
          <w:p w:rsidR="00D5690B" w:rsidRPr="00937D70" w:rsidRDefault="00D5690B" w:rsidP="00B04FFD">
            <w:pPr>
              <w:pStyle w:val="Level3"/>
              <w:numPr>
                <w:ilvl w:val="0"/>
                <w:numId w:val="0"/>
              </w:numPr>
              <w:spacing w:beforeLines="0" w:line="0" w:lineRule="atLeast"/>
              <w:jc w:val="center"/>
            </w:pPr>
            <w:r>
              <w:rPr>
                <w:rFonts w:hint="eastAsia"/>
              </w:rPr>
              <w:t>否</w:t>
            </w:r>
          </w:p>
        </w:tc>
      </w:tr>
      <w:tr w:rsidR="00D5690B" w:rsidRPr="00937D70" w:rsidTr="00B04FFD">
        <w:trPr>
          <w:jc w:val="center"/>
        </w:trPr>
        <w:tc>
          <w:tcPr>
            <w:tcW w:w="1728" w:type="dxa"/>
            <w:tcBorders>
              <w:left w:val="single" w:sz="12" w:space="0" w:color="auto"/>
            </w:tcBorders>
            <w:vAlign w:val="center"/>
          </w:tcPr>
          <w:p w:rsidR="00D5690B" w:rsidRPr="00937D70" w:rsidRDefault="00D5690B" w:rsidP="00B04FFD">
            <w:pPr>
              <w:pStyle w:val="Level3"/>
              <w:numPr>
                <w:ilvl w:val="0"/>
                <w:numId w:val="0"/>
              </w:numPr>
              <w:spacing w:beforeLines="0" w:line="0" w:lineRule="atLeast"/>
              <w:jc w:val="distribute"/>
            </w:pPr>
            <w:r w:rsidRPr="00937D70">
              <w:t>功能</w:t>
            </w:r>
          </w:p>
          <w:p w:rsidR="00D5690B" w:rsidRPr="00937D70" w:rsidRDefault="00D5690B" w:rsidP="00B04FFD">
            <w:pPr>
              <w:pStyle w:val="Level3"/>
              <w:numPr>
                <w:ilvl w:val="0"/>
                <w:numId w:val="0"/>
              </w:numPr>
              <w:spacing w:beforeLines="0" w:line="0" w:lineRule="atLeast"/>
              <w:jc w:val="distribute"/>
            </w:pPr>
            <w:r w:rsidRPr="00937D70">
              <w:t>（</w:t>
            </w:r>
            <w:r w:rsidRPr="00937D70">
              <w:t>function</w:t>
            </w:r>
            <w:r w:rsidRPr="00937D70">
              <w:t>）</w:t>
            </w:r>
          </w:p>
        </w:tc>
        <w:tc>
          <w:tcPr>
            <w:tcW w:w="2880" w:type="dxa"/>
          </w:tcPr>
          <w:p w:rsidR="00D5690B" w:rsidRPr="00725578" w:rsidRDefault="00D5690B" w:rsidP="00B04FFD">
            <w:pPr>
              <w:pStyle w:val="Level3"/>
              <w:numPr>
                <w:ilvl w:val="0"/>
                <w:numId w:val="0"/>
              </w:numPr>
              <w:spacing w:beforeLines="0" w:line="0" w:lineRule="atLeast"/>
              <w:jc w:val="both"/>
              <w:rPr>
                <w:rFonts w:ascii="標楷體" w:hAnsi="標楷體"/>
                <w:b w:val="0"/>
                <w:color w:val="000000"/>
                <w:sz w:val="24"/>
              </w:rPr>
            </w:pPr>
            <w:r>
              <w:rPr>
                <w:rFonts w:ascii="標楷體" w:hAnsi="標楷體" w:hint="eastAsia"/>
                <w:b w:val="0"/>
                <w:color w:val="000000"/>
                <w:sz w:val="24"/>
              </w:rPr>
              <w:t>利用</w:t>
            </w:r>
            <w:r w:rsidRPr="00725578">
              <w:rPr>
                <w:rFonts w:ascii="標楷體" w:hAnsi="標楷體"/>
                <w:b w:val="0"/>
                <w:color w:val="000000"/>
                <w:sz w:val="24"/>
              </w:rPr>
              <w:t>槽室前側</w:t>
            </w:r>
            <w:r w:rsidRPr="00725578">
              <w:rPr>
                <w:rFonts w:ascii="標楷體" w:hAnsi="標楷體" w:hint="eastAsia"/>
                <w:b w:val="0"/>
                <w:color w:val="000000"/>
                <w:sz w:val="24"/>
              </w:rPr>
              <w:t>可設</w:t>
            </w:r>
            <w:r w:rsidRPr="00725578">
              <w:rPr>
                <w:rFonts w:ascii="標楷體" w:hAnsi="標楷體"/>
                <w:b w:val="0"/>
                <w:color w:val="000000"/>
                <w:sz w:val="24"/>
              </w:rPr>
              <w:t>小型進氣孔與底部大型進氣孔</w:t>
            </w:r>
            <w:r>
              <w:rPr>
                <w:rFonts w:ascii="標楷體" w:hAnsi="標楷體" w:hint="eastAsia"/>
                <w:b w:val="0"/>
                <w:color w:val="000000"/>
                <w:sz w:val="24"/>
              </w:rPr>
              <w:t>由推移活動板之啟閉幅度，達到</w:t>
            </w:r>
            <w:r w:rsidRPr="00725578">
              <w:rPr>
                <w:rFonts w:ascii="標楷體" w:hAnsi="標楷體"/>
                <w:b w:val="0"/>
                <w:color w:val="000000"/>
                <w:sz w:val="24"/>
              </w:rPr>
              <w:t>導入空氣</w:t>
            </w:r>
            <w:r>
              <w:rPr>
                <w:rFonts w:ascii="標楷體" w:hAnsi="標楷體" w:hint="eastAsia"/>
                <w:b w:val="0"/>
                <w:color w:val="000000"/>
                <w:sz w:val="24"/>
              </w:rPr>
              <w:t>混合之功效</w:t>
            </w:r>
          </w:p>
        </w:tc>
        <w:tc>
          <w:tcPr>
            <w:tcW w:w="2880" w:type="dxa"/>
          </w:tcPr>
          <w:p w:rsidR="00D5690B" w:rsidRPr="00725578" w:rsidRDefault="00D5690B" w:rsidP="00B04FFD">
            <w:pPr>
              <w:pStyle w:val="Level3"/>
              <w:numPr>
                <w:ilvl w:val="0"/>
                <w:numId w:val="0"/>
              </w:numPr>
              <w:spacing w:beforeLines="0" w:line="0" w:lineRule="atLeast"/>
              <w:jc w:val="both"/>
              <w:rPr>
                <w:b w:val="0"/>
                <w:color w:val="000000"/>
                <w:sz w:val="24"/>
              </w:rPr>
            </w:pPr>
            <w:r>
              <w:rPr>
                <w:rFonts w:hint="eastAsia"/>
                <w:b w:val="0"/>
                <w:color w:val="000000"/>
                <w:sz w:val="24"/>
              </w:rPr>
              <w:t>電爐內部廢氣直接由</w:t>
            </w:r>
            <w:r w:rsidRPr="00725578">
              <w:rPr>
                <w:rFonts w:ascii="標楷體" w:hAnsi="標楷體"/>
                <w:b w:val="0"/>
                <w:color w:val="000000"/>
                <w:sz w:val="24"/>
              </w:rPr>
              <w:t>中央部位</w:t>
            </w:r>
            <w:r>
              <w:rPr>
                <w:rFonts w:ascii="標楷體" w:hAnsi="標楷體" w:hint="eastAsia"/>
                <w:b w:val="0"/>
                <w:color w:val="000000"/>
                <w:sz w:val="24"/>
              </w:rPr>
              <w:t>之</w:t>
            </w:r>
            <w:r w:rsidRPr="00725578">
              <w:rPr>
                <w:rFonts w:ascii="標楷體" w:hAnsi="標楷體" w:hint="eastAsia"/>
                <w:b w:val="0"/>
                <w:color w:val="000000"/>
                <w:sz w:val="24"/>
              </w:rPr>
              <w:t>通孔以連通管</w:t>
            </w:r>
            <w:r>
              <w:rPr>
                <w:rFonts w:ascii="標楷體" w:hAnsi="標楷體" w:hint="eastAsia"/>
                <w:b w:val="0"/>
                <w:color w:val="000000"/>
                <w:sz w:val="24"/>
              </w:rPr>
              <w:t>輸送至電爐本體外部之</w:t>
            </w:r>
            <w:r w:rsidRPr="00725578">
              <w:rPr>
                <w:rFonts w:ascii="標楷體" w:hAnsi="標楷體" w:hint="eastAsia"/>
                <w:b w:val="0"/>
                <w:color w:val="000000"/>
                <w:sz w:val="24"/>
              </w:rPr>
              <w:t>矩形槽室</w:t>
            </w:r>
            <w:r>
              <w:rPr>
                <w:rFonts w:ascii="標楷體" w:hAnsi="標楷體" w:hint="eastAsia"/>
                <w:b w:val="0"/>
                <w:color w:val="000000"/>
                <w:sz w:val="24"/>
              </w:rPr>
              <w:t>而排出</w:t>
            </w:r>
          </w:p>
        </w:tc>
        <w:tc>
          <w:tcPr>
            <w:tcW w:w="1034" w:type="dxa"/>
            <w:tcBorders>
              <w:right w:val="single" w:sz="12" w:space="0" w:color="auto"/>
            </w:tcBorders>
            <w:vAlign w:val="center"/>
          </w:tcPr>
          <w:p w:rsidR="00D5690B" w:rsidRPr="00937D70" w:rsidRDefault="00D5690B" w:rsidP="00B04FFD">
            <w:pPr>
              <w:pStyle w:val="Level3"/>
              <w:numPr>
                <w:ilvl w:val="0"/>
                <w:numId w:val="0"/>
              </w:numPr>
              <w:spacing w:beforeLines="0" w:line="0" w:lineRule="atLeast"/>
              <w:jc w:val="center"/>
            </w:pPr>
            <w:r>
              <w:rPr>
                <w:rFonts w:hint="eastAsia"/>
              </w:rPr>
              <w:t>否</w:t>
            </w:r>
          </w:p>
        </w:tc>
      </w:tr>
      <w:tr w:rsidR="00D5690B" w:rsidRPr="00832F78" w:rsidTr="00B04FFD">
        <w:trPr>
          <w:jc w:val="center"/>
        </w:trPr>
        <w:tc>
          <w:tcPr>
            <w:tcW w:w="1728" w:type="dxa"/>
            <w:tcBorders>
              <w:left w:val="single" w:sz="12" w:space="0" w:color="auto"/>
              <w:bottom w:val="single" w:sz="12" w:space="0" w:color="auto"/>
            </w:tcBorders>
            <w:vAlign w:val="center"/>
          </w:tcPr>
          <w:p w:rsidR="00D5690B" w:rsidRPr="00937D70" w:rsidRDefault="00D5690B" w:rsidP="00B04FFD">
            <w:pPr>
              <w:pStyle w:val="Level3"/>
              <w:numPr>
                <w:ilvl w:val="0"/>
                <w:numId w:val="0"/>
              </w:numPr>
              <w:spacing w:beforeLines="0" w:line="0" w:lineRule="atLeast"/>
              <w:jc w:val="distribute"/>
            </w:pPr>
            <w:r w:rsidRPr="00937D70">
              <w:t>結果</w:t>
            </w:r>
          </w:p>
          <w:p w:rsidR="00D5690B" w:rsidRPr="00937D70" w:rsidRDefault="00D5690B" w:rsidP="00B04FFD">
            <w:pPr>
              <w:pStyle w:val="Level3"/>
              <w:numPr>
                <w:ilvl w:val="0"/>
                <w:numId w:val="0"/>
              </w:numPr>
              <w:spacing w:beforeLines="0" w:line="0" w:lineRule="atLeast"/>
              <w:jc w:val="distribute"/>
            </w:pPr>
            <w:r w:rsidRPr="00937D70">
              <w:t>（</w:t>
            </w:r>
            <w:r w:rsidRPr="00937D70">
              <w:t>result</w:t>
            </w:r>
            <w:r w:rsidRPr="00937D70">
              <w:t>）</w:t>
            </w:r>
          </w:p>
        </w:tc>
        <w:tc>
          <w:tcPr>
            <w:tcW w:w="2880" w:type="dxa"/>
            <w:tcBorders>
              <w:bottom w:val="single" w:sz="12" w:space="0" w:color="auto"/>
            </w:tcBorders>
          </w:tcPr>
          <w:p w:rsidR="00D5690B" w:rsidRPr="00725578" w:rsidRDefault="00D5690B" w:rsidP="00B04FFD">
            <w:pPr>
              <w:pStyle w:val="Level3"/>
              <w:numPr>
                <w:ilvl w:val="0"/>
                <w:numId w:val="0"/>
              </w:numPr>
              <w:spacing w:beforeLines="0" w:line="0" w:lineRule="atLeast"/>
              <w:jc w:val="both"/>
              <w:rPr>
                <w:rFonts w:ascii="標楷體" w:hAnsi="標楷體"/>
                <w:b w:val="0"/>
                <w:color w:val="000000"/>
                <w:sz w:val="24"/>
              </w:rPr>
            </w:pPr>
            <w:r w:rsidRPr="00725578">
              <w:rPr>
                <w:rFonts w:ascii="標楷體" w:hAnsi="標楷體"/>
                <w:b w:val="0"/>
                <w:color w:val="000000"/>
                <w:sz w:val="24"/>
              </w:rPr>
              <w:t>可適度冷卻廢氣的高溫，故可使其排出的廢氣溫度不致過高，避可避免氣管及抽氣系統結構受損</w:t>
            </w:r>
          </w:p>
        </w:tc>
        <w:tc>
          <w:tcPr>
            <w:tcW w:w="2880" w:type="dxa"/>
            <w:tcBorders>
              <w:bottom w:val="single" w:sz="12" w:space="0" w:color="auto"/>
            </w:tcBorders>
          </w:tcPr>
          <w:p w:rsidR="00D5690B" w:rsidRPr="00725578" w:rsidRDefault="00D5690B" w:rsidP="00B04FFD">
            <w:pPr>
              <w:pStyle w:val="Level3"/>
              <w:numPr>
                <w:ilvl w:val="0"/>
                <w:numId w:val="0"/>
              </w:numPr>
              <w:spacing w:beforeLines="0" w:line="0" w:lineRule="atLeast"/>
              <w:jc w:val="both"/>
              <w:rPr>
                <w:b w:val="0"/>
                <w:color w:val="000000"/>
                <w:sz w:val="24"/>
              </w:rPr>
            </w:pPr>
            <w:r>
              <w:rPr>
                <w:rFonts w:hint="eastAsia"/>
                <w:b w:val="0"/>
                <w:color w:val="000000"/>
                <w:sz w:val="24"/>
              </w:rPr>
              <w:t>廢氣直接由內部</w:t>
            </w:r>
            <w:r w:rsidRPr="00725578">
              <w:rPr>
                <w:rFonts w:ascii="標楷體" w:hAnsi="標楷體" w:hint="eastAsia"/>
                <w:b w:val="0"/>
                <w:color w:val="000000"/>
                <w:sz w:val="24"/>
              </w:rPr>
              <w:t>通孔以連通管</w:t>
            </w:r>
            <w:r>
              <w:rPr>
                <w:rFonts w:ascii="標楷體" w:hAnsi="標楷體" w:hint="eastAsia"/>
                <w:b w:val="0"/>
                <w:color w:val="000000"/>
                <w:sz w:val="24"/>
              </w:rPr>
              <w:t>排送至電爐本體外部之</w:t>
            </w:r>
            <w:r w:rsidRPr="00725578">
              <w:rPr>
                <w:rFonts w:ascii="標楷體" w:hAnsi="標楷體" w:hint="eastAsia"/>
                <w:b w:val="0"/>
                <w:color w:val="000000"/>
                <w:sz w:val="24"/>
              </w:rPr>
              <w:t>矩形槽室</w:t>
            </w:r>
            <w:r>
              <w:rPr>
                <w:rFonts w:ascii="標楷體" w:hAnsi="標楷體" w:hint="eastAsia"/>
                <w:b w:val="0"/>
                <w:color w:val="000000"/>
                <w:sz w:val="24"/>
              </w:rPr>
              <w:t>，再由抽風機</w:t>
            </w:r>
            <w:r w:rsidRPr="00725578">
              <w:rPr>
                <w:rFonts w:ascii="標楷體" w:hAnsi="標楷體" w:hint="eastAsia"/>
                <w:b w:val="0"/>
                <w:color w:val="000000"/>
                <w:sz w:val="24"/>
              </w:rPr>
              <w:t>外接氣管</w:t>
            </w:r>
            <w:r>
              <w:rPr>
                <w:rFonts w:ascii="標楷體" w:hAnsi="標楷體" w:hint="eastAsia"/>
                <w:b w:val="0"/>
                <w:color w:val="000000"/>
                <w:sz w:val="24"/>
              </w:rPr>
              <w:t>排出</w:t>
            </w:r>
          </w:p>
        </w:tc>
        <w:tc>
          <w:tcPr>
            <w:tcW w:w="1034" w:type="dxa"/>
            <w:tcBorders>
              <w:bottom w:val="single" w:sz="12" w:space="0" w:color="auto"/>
              <w:right w:val="single" w:sz="12" w:space="0" w:color="auto"/>
            </w:tcBorders>
            <w:vAlign w:val="center"/>
          </w:tcPr>
          <w:p w:rsidR="00D5690B" w:rsidRPr="00937D70" w:rsidRDefault="00D5690B" w:rsidP="00B04FFD">
            <w:pPr>
              <w:pStyle w:val="Level3"/>
              <w:numPr>
                <w:ilvl w:val="0"/>
                <w:numId w:val="0"/>
              </w:numPr>
              <w:spacing w:beforeLines="0" w:line="0" w:lineRule="atLeast"/>
              <w:jc w:val="center"/>
            </w:pPr>
            <w:r>
              <w:rPr>
                <w:rFonts w:hint="eastAsia"/>
              </w:rPr>
              <w:t>否</w:t>
            </w:r>
          </w:p>
        </w:tc>
      </w:tr>
    </w:tbl>
    <w:p w:rsidR="00856BBA" w:rsidRDefault="00856BBA"/>
    <w:p w:rsidR="00856BBA" w:rsidRDefault="00856BBA"/>
    <w:p w:rsidR="00856BBA" w:rsidRDefault="00856BBA"/>
    <w:p w:rsidR="00856BBA" w:rsidRDefault="00856BBA"/>
    <w:p w:rsidR="00856BBA" w:rsidRDefault="00856BBA"/>
    <w:p w:rsidR="00856BBA" w:rsidRDefault="00856BBA"/>
    <w:sectPr w:rsidR="00856BBA" w:rsidSect="001C70D7">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C3B" w:rsidRDefault="001B3C3B" w:rsidP="00CD4E36">
      <w:r>
        <w:separator/>
      </w:r>
    </w:p>
  </w:endnote>
  <w:endnote w:type="continuationSeparator" w:id="0">
    <w:p w:rsidR="001B3C3B" w:rsidRDefault="001B3C3B" w:rsidP="00CD4E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18360"/>
      <w:docPartObj>
        <w:docPartGallery w:val="Page Numbers (Bottom of Page)"/>
        <w:docPartUnique/>
      </w:docPartObj>
    </w:sdtPr>
    <w:sdtContent>
      <w:p w:rsidR="00D63715" w:rsidRDefault="00B55A25">
        <w:pPr>
          <w:pStyle w:val="a5"/>
          <w:jc w:val="center"/>
        </w:pPr>
        <w:r>
          <w:fldChar w:fldCharType="begin"/>
        </w:r>
        <w:r w:rsidR="00D63715">
          <w:instrText xml:space="preserve"> PAGE   \* MERGEFORMAT </w:instrText>
        </w:r>
        <w:r>
          <w:fldChar w:fldCharType="separate"/>
        </w:r>
        <w:r w:rsidR="000A38EA" w:rsidRPr="000A38EA">
          <w:rPr>
            <w:noProof/>
            <w:lang w:val="zh-TW"/>
          </w:rPr>
          <w:t>2</w:t>
        </w:r>
        <w:r>
          <w:fldChar w:fldCharType="end"/>
        </w:r>
      </w:p>
    </w:sdtContent>
  </w:sdt>
  <w:p w:rsidR="00D63715" w:rsidRDefault="00D6371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C3B" w:rsidRDefault="001B3C3B" w:rsidP="00CD4E36">
      <w:r>
        <w:separator/>
      </w:r>
    </w:p>
  </w:footnote>
  <w:footnote w:type="continuationSeparator" w:id="0">
    <w:p w:rsidR="001B3C3B" w:rsidRDefault="001B3C3B" w:rsidP="00CD4E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B2B7B"/>
    <w:multiLevelType w:val="multilevel"/>
    <w:tmpl w:val="7EA01F88"/>
    <w:lvl w:ilvl="0">
      <w:start w:val="1"/>
      <w:numFmt w:val="ideographLegalTraditional"/>
      <w:pStyle w:val="Level1"/>
      <w:lvlText w:val="%1、"/>
      <w:lvlJc w:val="left"/>
      <w:pPr>
        <w:tabs>
          <w:tab w:val="num" w:pos="568"/>
        </w:tabs>
        <w:ind w:left="936" w:hanging="652"/>
      </w:pPr>
      <w:rPr>
        <w:rFonts w:hint="eastAsia"/>
      </w:rPr>
    </w:lvl>
    <w:lvl w:ilvl="1">
      <w:start w:val="1"/>
      <w:numFmt w:val="taiwaneseCountingThousand"/>
      <w:pStyle w:val="Level2"/>
      <w:lvlText w:val="%2、"/>
      <w:lvlJc w:val="left"/>
      <w:pPr>
        <w:tabs>
          <w:tab w:val="num" w:pos="992"/>
        </w:tabs>
        <w:ind w:left="992" w:hanging="567"/>
      </w:pPr>
      <w:rPr>
        <w:rFonts w:hint="eastAsia"/>
        <w:lang w:val="en-US"/>
      </w:rPr>
    </w:lvl>
    <w:lvl w:ilvl="2">
      <w:start w:val="1"/>
      <w:numFmt w:val="taiwaneseCountingThousand"/>
      <w:pStyle w:val="Level3"/>
      <w:lvlText w:val="（%3）"/>
      <w:lvlJc w:val="left"/>
      <w:pPr>
        <w:tabs>
          <w:tab w:val="num" w:pos="5067"/>
        </w:tabs>
        <w:ind w:left="5344" w:hanging="844"/>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56BBA"/>
    <w:rsid w:val="00032499"/>
    <w:rsid w:val="00050826"/>
    <w:rsid w:val="0009026D"/>
    <w:rsid w:val="000A38EA"/>
    <w:rsid w:val="001B3C3B"/>
    <w:rsid w:val="001C70D7"/>
    <w:rsid w:val="003E356C"/>
    <w:rsid w:val="007F63D7"/>
    <w:rsid w:val="00856BBA"/>
    <w:rsid w:val="00993B5D"/>
    <w:rsid w:val="00A0011A"/>
    <w:rsid w:val="00A16AA3"/>
    <w:rsid w:val="00AB5FD9"/>
    <w:rsid w:val="00AC6FDD"/>
    <w:rsid w:val="00B55A25"/>
    <w:rsid w:val="00CA2B79"/>
    <w:rsid w:val="00CD4E36"/>
    <w:rsid w:val="00D5690B"/>
    <w:rsid w:val="00D63715"/>
    <w:rsid w:val="00E67F1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0D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vel1">
    <w:name w:val="Level1"/>
    <w:basedOn w:val="a"/>
    <w:rsid w:val="00856BBA"/>
    <w:pPr>
      <w:numPr>
        <w:numId w:val="1"/>
      </w:numPr>
      <w:spacing w:afterLines="50" w:line="480" w:lineRule="exact"/>
    </w:pPr>
    <w:rPr>
      <w:rFonts w:ascii="Book Antiqua" w:eastAsia="標楷體" w:hAnsi="Book Antiqua" w:cs="Times New Roman"/>
      <w:b/>
      <w:sz w:val="32"/>
      <w:szCs w:val="24"/>
    </w:rPr>
  </w:style>
  <w:style w:type="paragraph" w:customStyle="1" w:styleId="Level2">
    <w:name w:val="Level2"/>
    <w:basedOn w:val="a"/>
    <w:rsid w:val="00856BBA"/>
    <w:pPr>
      <w:numPr>
        <w:ilvl w:val="1"/>
        <w:numId w:val="1"/>
      </w:numPr>
      <w:spacing w:line="480" w:lineRule="exact"/>
    </w:pPr>
    <w:rPr>
      <w:rFonts w:ascii="Book Antiqua" w:eastAsia="標楷體" w:hAnsi="Book Antiqua" w:cs="Times New Roman"/>
      <w:b/>
      <w:sz w:val="28"/>
      <w:szCs w:val="24"/>
    </w:rPr>
  </w:style>
  <w:style w:type="paragraph" w:customStyle="1" w:styleId="Level3">
    <w:name w:val="Level3"/>
    <w:basedOn w:val="a"/>
    <w:rsid w:val="00856BBA"/>
    <w:pPr>
      <w:numPr>
        <w:ilvl w:val="2"/>
        <w:numId w:val="1"/>
      </w:numPr>
      <w:spacing w:beforeLines="50" w:line="480" w:lineRule="exact"/>
    </w:pPr>
    <w:rPr>
      <w:rFonts w:ascii="Book Antiqua" w:eastAsia="標楷體" w:hAnsi="Book Antiqua" w:cs="Times New Roman"/>
      <w:b/>
      <w:sz w:val="28"/>
      <w:szCs w:val="24"/>
    </w:rPr>
  </w:style>
  <w:style w:type="paragraph" w:styleId="a3">
    <w:name w:val="header"/>
    <w:basedOn w:val="a"/>
    <w:link w:val="a4"/>
    <w:uiPriority w:val="99"/>
    <w:semiHidden/>
    <w:unhideWhenUsed/>
    <w:rsid w:val="00CD4E36"/>
    <w:pPr>
      <w:tabs>
        <w:tab w:val="center" w:pos="4153"/>
        <w:tab w:val="right" w:pos="8306"/>
      </w:tabs>
      <w:snapToGrid w:val="0"/>
    </w:pPr>
    <w:rPr>
      <w:sz w:val="20"/>
      <w:szCs w:val="20"/>
    </w:rPr>
  </w:style>
  <w:style w:type="character" w:customStyle="1" w:styleId="a4">
    <w:name w:val="頁首 字元"/>
    <w:basedOn w:val="a0"/>
    <w:link w:val="a3"/>
    <w:uiPriority w:val="99"/>
    <w:semiHidden/>
    <w:rsid w:val="00CD4E36"/>
    <w:rPr>
      <w:sz w:val="20"/>
      <w:szCs w:val="20"/>
    </w:rPr>
  </w:style>
  <w:style w:type="paragraph" w:styleId="a5">
    <w:name w:val="footer"/>
    <w:basedOn w:val="a"/>
    <w:link w:val="a6"/>
    <w:uiPriority w:val="99"/>
    <w:unhideWhenUsed/>
    <w:rsid w:val="00CD4E36"/>
    <w:pPr>
      <w:tabs>
        <w:tab w:val="center" w:pos="4153"/>
        <w:tab w:val="right" w:pos="8306"/>
      </w:tabs>
      <w:snapToGrid w:val="0"/>
    </w:pPr>
    <w:rPr>
      <w:sz w:val="20"/>
      <w:szCs w:val="20"/>
    </w:rPr>
  </w:style>
  <w:style w:type="character" w:customStyle="1" w:styleId="a6">
    <w:name w:val="頁尾 字元"/>
    <w:basedOn w:val="a0"/>
    <w:link w:val="a5"/>
    <w:uiPriority w:val="99"/>
    <w:rsid w:val="00CD4E36"/>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1306</Characters>
  <Application>Microsoft Office Word</Application>
  <DocSecurity>0</DocSecurity>
  <Lines>10</Lines>
  <Paragraphs>3</Paragraphs>
  <ScaleCrop>false</ScaleCrop>
  <Company>IPC</Company>
  <LinksUpToDate>false</LinksUpToDate>
  <CharactersWithSpaces>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ipc_da14</dc:creator>
  <cp:keywords/>
  <dc:description/>
  <cp:lastModifiedBy>Administrator</cp:lastModifiedBy>
  <cp:revision>2</cp:revision>
  <dcterms:created xsi:type="dcterms:W3CDTF">2014-12-24T07:43:00Z</dcterms:created>
  <dcterms:modified xsi:type="dcterms:W3CDTF">2014-12-24T07:43:00Z</dcterms:modified>
</cp:coreProperties>
</file>