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489" w:rsidRPr="009660DE" w:rsidRDefault="00A01350" w:rsidP="00606489">
      <w:pPr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szCs w:val="24"/>
        </w:rPr>
        <w:t>附圖</w:t>
      </w:r>
      <w:proofErr w:type="gramStart"/>
      <w:r w:rsidR="00606489" w:rsidRPr="009660DE">
        <w:rPr>
          <w:rFonts w:ascii="標楷體" w:eastAsia="標楷體" w:hAnsi="標楷體" w:hint="eastAsia"/>
          <w:szCs w:val="24"/>
        </w:rPr>
        <w:t>一</w:t>
      </w:r>
      <w:proofErr w:type="gramEnd"/>
      <w:r w:rsidR="00606489" w:rsidRPr="009660DE">
        <w:rPr>
          <w:rFonts w:ascii="標楷體" w:eastAsia="標楷體" w:hAnsi="標楷體" w:hint="eastAsia"/>
          <w:szCs w:val="24"/>
        </w:rPr>
        <w:t>（</w:t>
      </w:r>
      <w:r w:rsidR="00606489" w:rsidRPr="009660DE">
        <w:rPr>
          <w:rFonts w:ascii="標楷體" w:eastAsia="標楷體" w:hAnsi="標楷體"/>
          <w:bCs/>
          <w:szCs w:val="24"/>
        </w:rPr>
        <w:t>系爭專利主要圖面</w:t>
      </w:r>
      <w:r w:rsidR="00606489" w:rsidRPr="009660DE">
        <w:rPr>
          <w:rFonts w:ascii="標楷體" w:eastAsia="標楷體" w:hAnsi="標楷體" w:hint="eastAsia"/>
          <w:bCs/>
          <w:szCs w:val="24"/>
        </w:rPr>
        <w:t>）</w:t>
      </w:r>
    </w:p>
    <w:p w:rsidR="00606489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szCs w:val="24"/>
        </w:rPr>
        <w:t>1.第1圖</w:t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noProof/>
          <w:szCs w:val="24"/>
        </w:rPr>
        <w:drawing>
          <wp:inline distT="0" distB="0" distL="0" distR="0">
            <wp:extent cx="5268595" cy="2525395"/>
            <wp:effectExtent l="19050" t="0" r="8255" b="0"/>
            <wp:docPr id="5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252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szCs w:val="24"/>
        </w:rPr>
        <w:t>2.第2圖</w:t>
      </w:r>
    </w:p>
    <w:p w:rsidR="00087018" w:rsidRPr="009660DE" w:rsidRDefault="00087018" w:rsidP="000938DB">
      <w:pPr>
        <w:spacing w:beforeLines="50"/>
        <w:jc w:val="center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noProof/>
          <w:szCs w:val="24"/>
        </w:rPr>
        <w:drawing>
          <wp:inline distT="0" distB="0" distL="0" distR="0">
            <wp:extent cx="1720215" cy="1502410"/>
            <wp:effectExtent l="19050" t="0" r="0" b="0"/>
            <wp:docPr id="6" name="圖片 2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szCs w:val="24"/>
        </w:rPr>
        <w:lastRenderedPageBreak/>
        <w:t>3.第3圖</w:t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noProof/>
          <w:szCs w:val="24"/>
        </w:rPr>
        <w:drawing>
          <wp:inline distT="0" distB="0" distL="0" distR="0">
            <wp:extent cx="5268595" cy="2971800"/>
            <wp:effectExtent l="19050" t="0" r="8255" b="0"/>
            <wp:docPr id="7" name="圖片 3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圖片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  <w:r w:rsidRPr="009660DE">
        <w:rPr>
          <w:rFonts w:ascii="標楷體" w:eastAsia="標楷體" w:hAnsi="標楷體" w:hint="eastAsia"/>
          <w:bCs/>
          <w:szCs w:val="24"/>
        </w:rPr>
        <w:t>4.第4圖</w:t>
      </w:r>
    </w:p>
    <w:p w:rsidR="00087018" w:rsidRPr="009660DE" w:rsidRDefault="00087018" w:rsidP="000938DB">
      <w:pPr>
        <w:spacing w:beforeLines="50"/>
        <w:jc w:val="both"/>
        <w:rPr>
          <w:rFonts w:ascii="標楷體" w:eastAsia="標楷體" w:hAnsi="標楷體"/>
          <w:bCs/>
          <w:szCs w:val="24"/>
        </w:rPr>
      </w:pPr>
    </w:p>
    <w:p w:rsidR="00606489" w:rsidRPr="009660DE" w:rsidRDefault="00606489" w:rsidP="000938DB">
      <w:pPr>
        <w:pStyle w:val="Level3"/>
        <w:tabs>
          <w:tab w:val="clear" w:pos="5067"/>
        </w:tabs>
        <w:spacing w:before="180" w:line="240" w:lineRule="auto"/>
        <w:ind w:left="0" w:firstLine="0"/>
        <w:jc w:val="center"/>
        <w:rPr>
          <w:rFonts w:ascii="標楷體" w:hAnsi="標楷體"/>
          <w:b w:val="0"/>
          <w:sz w:val="24"/>
        </w:rPr>
      </w:pPr>
      <w:r w:rsidRPr="009660DE">
        <w:rPr>
          <w:rFonts w:ascii="標楷體" w:hAnsi="標楷體" w:hint="eastAsia"/>
          <w:b w:val="0"/>
          <w:noProof/>
          <w:sz w:val="24"/>
        </w:rPr>
        <w:drawing>
          <wp:inline distT="0" distB="0" distL="0" distR="0">
            <wp:extent cx="1774190" cy="1649095"/>
            <wp:effectExtent l="19050" t="0" r="0" b="0"/>
            <wp:docPr id="4" name="圖片 4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489" w:rsidRPr="009660DE" w:rsidRDefault="00606489" w:rsidP="000938DB">
      <w:pPr>
        <w:pStyle w:val="Level3"/>
        <w:tabs>
          <w:tab w:val="clear" w:pos="5067"/>
        </w:tabs>
        <w:spacing w:before="180" w:line="240" w:lineRule="auto"/>
        <w:ind w:left="0" w:firstLine="0"/>
        <w:rPr>
          <w:rFonts w:ascii="標楷體" w:hAnsi="標楷體"/>
          <w:b w:val="0"/>
          <w:sz w:val="24"/>
        </w:rPr>
      </w:pPr>
    </w:p>
    <w:p w:rsidR="00606489" w:rsidRPr="009660DE" w:rsidRDefault="00606489">
      <w:pPr>
        <w:rPr>
          <w:rFonts w:ascii="標楷體" w:eastAsia="標楷體" w:hAnsi="標楷體"/>
          <w:szCs w:val="24"/>
        </w:rPr>
      </w:pPr>
    </w:p>
    <w:p w:rsidR="00606489" w:rsidRPr="009660DE" w:rsidRDefault="00606489">
      <w:pPr>
        <w:rPr>
          <w:rFonts w:ascii="標楷體" w:eastAsia="標楷體" w:hAnsi="標楷體"/>
          <w:szCs w:val="24"/>
        </w:rPr>
      </w:pPr>
    </w:p>
    <w:p w:rsidR="00606489" w:rsidRPr="009660DE" w:rsidRDefault="00606489">
      <w:pPr>
        <w:rPr>
          <w:rFonts w:ascii="標楷體" w:eastAsia="標楷體" w:hAnsi="標楷體"/>
          <w:szCs w:val="24"/>
        </w:rPr>
      </w:pPr>
    </w:p>
    <w:p w:rsidR="006750E2" w:rsidRPr="009660DE" w:rsidRDefault="006750E2">
      <w:pPr>
        <w:rPr>
          <w:rFonts w:ascii="標楷體" w:eastAsia="標楷體" w:hAnsi="標楷體"/>
          <w:szCs w:val="24"/>
        </w:rPr>
      </w:pPr>
    </w:p>
    <w:p w:rsidR="006750E2" w:rsidRPr="009660DE" w:rsidRDefault="006750E2">
      <w:pPr>
        <w:rPr>
          <w:rFonts w:ascii="標楷體" w:eastAsia="標楷體" w:hAnsi="標楷體"/>
          <w:szCs w:val="24"/>
        </w:rPr>
      </w:pPr>
    </w:p>
    <w:p w:rsidR="006750E2" w:rsidRPr="009660DE" w:rsidRDefault="006750E2">
      <w:pPr>
        <w:rPr>
          <w:rFonts w:ascii="標楷體" w:eastAsia="標楷體" w:hAnsi="標楷體"/>
          <w:szCs w:val="24"/>
        </w:rPr>
      </w:pPr>
    </w:p>
    <w:p w:rsidR="006750E2" w:rsidRPr="009660DE" w:rsidRDefault="006750E2">
      <w:pPr>
        <w:rPr>
          <w:rFonts w:ascii="標楷體" w:eastAsia="標楷體" w:hAnsi="標楷體"/>
          <w:szCs w:val="24"/>
        </w:rPr>
      </w:pPr>
    </w:p>
    <w:p w:rsidR="006750E2" w:rsidRPr="009660DE" w:rsidRDefault="006750E2">
      <w:pPr>
        <w:rPr>
          <w:rFonts w:ascii="標楷體" w:eastAsia="標楷體" w:hAnsi="標楷體"/>
          <w:szCs w:val="24"/>
        </w:rPr>
      </w:pPr>
    </w:p>
    <w:p w:rsidR="00606489" w:rsidRPr="007E6CFA" w:rsidRDefault="00606489">
      <w:pPr>
        <w:rPr>
          <w:rFonts w:ascii="標楷體" w:eastAsia="標楷體" w:hAnsi="標楷體" w:hint="eastAsia"/>
          <w:szCs w:val="24"/>
        </w:rPr>
      </w:pPr>
      <w:r w:rsidRPr="009660DE">
        <w:rPr>
          <w:rFonts w:ascii="標楷體" w:eastAsia="標楷體" w:hAnsi="標楷體" w:hint="eastAsia"/>
          <w:szCs w:val="24"/>
        </w:rPr>
        <w:lastRenderedPageBreak/>
        <w:t>附圖</w:t>
      </w:r>
      <w:r w:rsidRPr="007E6CFA">
        <w:rPr>
          <w:rFonts w:ascii="標楷體" w:eastAsia="標楷體" w:hAnsi="標楷體" w:hint="eastAsia"/>
          <w:szCs w:val="24"/>
        </w:rPr>
        <w:t>二</w:t>
      </w:r>
      <w:r w:rsidR="000969DA" w:rsidRPr="007E6CFA">
        <w:rPr>
          <w:rFonts w:ascii="標楷體" w:eastAsia="標楷體" w:hAnsi="標楷體" w:hint="eastAsia"/>
          <w:szCs w:val="24"/>
        </w:rPr>
        <w:t>（系爭方法）</w:t>
      </w:r>
    </w:p>
    <w:p w:rsidR="00AA2424" w:rsidRPr="007E6CFA" w:rsidRDefault="00AA2424" w:rsidP="00AA2424">
      <w:pPr>
        <w:spacing w:after="50"/>
        <w:jc w:val="both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t>(</w:t>
      </w:r>
      <w:proofErr w:type="gramStart"/>
      <w:r w:rsidRPr="007E6CFA">
        <w:rPr>
          <w:rFonts w:ascii="標楷體" w:eastAsia="標楷體" w:hAnsi="標楷體" w:hint="eastAsia"/>
          <w:szCs w:val="24"/>
        </w:rPr>
        <w:t>一</w:t>
      </w:r>
      <w:proofErr w:type="gramEnd"/>
      <w:r w:rsidRPr="007E6CFA">
        <w:rPr>
          <w:rFonts w:ascii="標楷體" w:eastAsia="標楷體" w:hAnsi="標楷體" w:hint="eastAsia"/>
          <w:szCs w:val="24"/>
        </w:rPr>
        <w:t>)系爭方法之出紗程序</w:t>
      </w:r>
    </w:p>
    <w:p w:rsidR="00AA2424" w:rsidRPr="007E6CFA" w:rsidRDefault="00AA2424" w:rsidP="00AA2424">
      <w:pPr>
        <w:jc w:val="center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4083710" cy="3107863"/>
            <wp:effectExtent l="19050" t="0" r="0" b="0"/>
            <wp:docPr id="78" name="圖片 78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圖片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710" cy="3107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t>(二)系爭方法</w:t>
      </w:r>
      <w:proofErr w:type="gramStart"/>
      <w:r w:rsidRPr="007E6CFA">
        <w:rPr>
          <w:rFonts w:ascii="標楷體" w:eastAsia="標楷體" w:hAnsi="標楷體" w:hint="eastAsia"/>
          <w:szCs w:val="24"/>
        </w:rPr>
        <w:t>之披覆程序</w:t>
      </w:r>
      <w:proofErr w:type="gramEnd"/>
    </w:p>
    <w:p w:rsidR="00AA2424" w:rsidRPr="007E6CFA" w:rsidRDefault="00AA2424" w:rsidP="00D754A1">
      <w:pPr>
        <w:jc w:val="center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4966289" cy="3874008"/>
            <wp:effectExtent l="19050" t="0" r="5761" b="0"/>
            <wp:docPr id="79" name="圖片 79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圖片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289" cy="387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4A1" w:rsidRPr="007E6CFA" w:rsidRDefault="00D754A1" w:rsidP="00AA2424">
      <w:pPr>
        <w:jc w:val="both"/>
        <w:rPr>
          <w:rFonts w:ascii="標楷體" w:eastAsia="標楷體" w:hAnsi="標楷體" w:hint="eastAsia"/>
          <w:szCs w:val="24"/>
        </w:rPr>
      </w:pPr>
    </w:p>
    <w:p w:rsidR="00D754A1" w:rsidRPr="007E6CFA" w:rsidRDefault="00D754A1" w:rsidP="00AA2424">
      <w:pPr>
        <w:jc w:val="both"/>
        <w:rPr>
          <w:rFonts w:ascii="標楷體" w:eastAsia="標楷體" w:hAnsi="標楷體" w:hint="eastAsia"/>
          <w:szCs w:val="24"/>
        </w:rPr>
      </w:pPr>
    </w:p>
    <w:p w:rsidR="00D754A1" w:rsidRPr="007E6CFA" w:rsidRDefault="00D754A1" w:rsidP="00AA2424">
      <w:pPr>
        <w:jc w:val="both"/>
        <w:rPr>
          <w:rFonts w:ascii="標楷體" w:eastAsia="標楷體" w:hAnsi="標楷體" w:hint="eastAsia"/>
          <w:szCs w:val="24"/>
        </w:rPr>
      </w:pP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lastRenderedPageBreak/>
        <w:t>(三)系爭方法之定型程序</w:t>
      </w:r>
    </w:p>
    <w:p w:rsidR="00AA2424" w:rsidRPr="007E6CFA" w:rsidRDefault="00AA2424" w:rsidP="00D754A1">
      <w:pPr>
        <w:jc w:val="center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2963753" cy="2196876"/>
            <wp:effectExtent l="19050" t="0" r="8047" b="0"/>
            <wp:docPr id="80" name="圖片 80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圖片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753" cy="219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6CFA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3318540" cy="2458761"/>
            <wp:effectExtent l="19050" t="0" r="0" b="0"/>
            <wp:docPr id="81" name="圖片 81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圖片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40" cy="245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</w:p>
    <w:p w:rsidR="00D754A1" w:rsidRPr="007E6CFA" w:rsidRDefault="00D754A1" w:rsidP="00AA2424">
      <w:pPr>
        <w:jc w:val="both"/>
        <w:rPr>
          <w:rFonts w:ascii="標楷體" w:eastAsia="標楷體" w:hAnsi="標楷體" w:hint="eastAsia"/>
          <w:szCs w:val="24"/>
        </w:rPr>
      </w:pP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t>(四)系爭方法之速度穩定程序</w:t>
      </w:r>
    </w:p>
    <w:p w:rsidR="00AA2424" w:rsidRPr="007E6CFA" w:rsidRDefault="00AA2424" w:rsidP="00D754A1">
      <w:pPr>
        <w:jc w:val="center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3752088" cy="2752344"/>
            <wp:effectExtent l="19050" t="0" r="762" b="0"/>
            <wp:docPr id="82" name="圖片 82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圖片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088" cy="2752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lastRenderedPageBreak/>
        <w:t>(五)系爭方法之</w:t>
      </w:r>
      <w:proofErr w:type="gramStart"/>
      <w:r w:rsidRPr="007E6CFA">
        <w:rPr>
          <w:rFonts w:ascii="標楷體" w:eastAsia="標楷體" w:hAnsi="標楷體" w:hint="eastAsia"/>
          <w:szCs w:val="24"/>
        </w:rPr>
        <w:t>收紗程序</w:t>
      </w:r>
      <w:proofErr w:type="gramEnd"/>
    </w:p>
    <w:p w:rsidR="007E6CFA" w:rsidRPr="007E6CFA" w:rsidRDefault="007E6CFA" w:rsidP="007E6CFA">
      <w:pPr>
        <w:jc w:val="center"/>
        <w:rPr>
          <w:rFonts w:ascii="標楷體" w:eastAsia="標楷體" w:hAnsi="標楷體" w:hint="eastAsia"/>
          <w:szCs w:val="24"/>
        </w:rPr>
      </w:pPr>
      <w:r w:rsidRPr="007E6CFA">
        <w:rPr>
          <w:rFonts w:ascii="標楷體" w:eastAsia="標楷體" w:hAnsi="標楷體" w:hint="eastAsia"/>
          <w:szCs w:val="24"/>
        </w:rPr>
        <w:drawing>
          <wp:inline distT="0" distB="0" distL="0" distR="0">
            <wp:extent cx="4128943" cy="3406018"/>
            <wp:effectExtent l="19050" t="0" r="4907" b="0"/>
            <wp:docPr id="19" name="圖片 83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圖片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943" cy="340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FA" w:rsidRPr="007E6CFA" w:rsidRDefault="007E6CFA" w:rsidP="00AA2424">
      <w:pPr>
        <w:jc w:val="both"/>
        <w:rPr>
          <w:rFonts w:ascii="標楷體" w:eastAsia="標楷體" w:hAnsi="標楷體" w:hint="eastAsia"/>
          <w:szCs w:val="24"/>
        </w:rPr>
      </w:pPr>
    </w:p>
    <w:p w:rsidR="00AA2424" w:rsidRPr="007E6CFA" w:rsidRDefault="00AA2424" w:rsidP="00AA2424">
      <w:pPr>
        <w:jc w:val="both"/>
        <w:rPr>
          <w:rFonts w:ascii="標楷體" w:eastAsia="標楷體" w:hAnsi="標楷體" w:hint="eastAsia"/>
          <w:szCs w:val="24"/>
        </w:rPr>
      </w:pPr>
    </w:p>
    <w:p w:rsidR="004F11B3" w:rsidRDefault="004F11B3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hAnsi="標楷體" w:hint="eastAsia"/>
          <w:szCs w:val="28"/>
        </w:rPr>
      </w:pPr>
    </w:p>
    <w:p w:rsidR="007E6CFA" w:rsidRDefault="007E6CFA" w:rsidP="007E6CFA">
      <w:pPr>
        <w:jc w:val="both"/>
        <w:rPr>
          <w:rFonts w:ascii="標楷體" w:eastAsia="標楷體" w:hAnsi="標楷體"/>
          <w:szCs w:val="24"/>
        </w:rPr>
      </w:pPr>
    </w:p>
    <w:p w:rsidR="004F11B3" w:rsidRDefault="004F11B3">
      <w:pPr>
        <w:rPr>
          <w:rFonts w:ascii="標楷體" w:eastAsia="標楷體" w:hAnsi="標楷體"/>
          <w:szCs w:val="24"/>
        </w:rPr>
      </w:pPr>
    </w:p>
    <w:p w:rsidR="004F11B3" w:rsidRDefault="004F11B3">
      <w:pPr>
        <w:rPr>
          <w:rFonts w:ascii="標楷體" w:eastAsia="標楷體" w:hAnsi="標楷體" w:hint="eastAsia"/>
          <w:szCs w:val="24"/>
        </w:rPr>
      </w:pPr>
    </w:p>
    <w:p w:rsidR="007E6CFA" w:rsidRDefault="007E6CFA">
      <w:pPr>
        <w:rPr>
          <w:rFonts w:ascii="標楷體" w:eastAsia="標楷體" w:hAnsi="標楷體" w:hint="eastAsia"/>
          <w:szCs w:val="24"/>
        </w:rPr>
      </w:pPr>
    </w:p>
    <w:p w:rsidR="007E6CFA" w:rsidRDefault="007E6CFA">
      <w:pPr>
        <w:rPr>
          <w:rFonts w:ascii="標楷體" w:eastAsia="標楷體" w:hAnsi="標楷體" w:hint="eastAsia"/>
          <w:szCs w:val="24"/>
        </w:rPr>
      </w:pPr>
    </w:p>
    <w:p w:rsidR="007E6CFA" w:rsidRDefault="007E6CFA">
      <w:pPr>
        <w:rPr>
          <w:rFonts w:ascii="標楷體" w:eastAsia="標楷體" w:hAnsi="標楷體" w:hint="eastAsia"/>
          <w:szCs w:val="24"/>
        </w:rPr>
      </w:pPr>
    </w:p>
    <w:p w:rsidR="007E6CFA" w:rsidRDefault="007E6CFA">
      <w:pPr>
        <w:rPr>
          <w:rFonts w:ascii="標楷體" w:eastAsia="標楷體" w:hAnsi="標楷體"/>
          <w:szCs w:val="24"/>
        </w:rPr>
      </w:pPr>
    </w:p>
    <w:p w:rsidR="004F11B3" w:rsidRDefault="004F11B3">
      <w:pPr>
        <w:rPr>
          <w:rFonts w:ascii="標楷體" w:eastAsia="標楷體" w:hAnsi="標楷體"/>
          <w:szCs w:val="24"/>
        </w:rPr>
      </w:pPr>
    </w:p>
    <w:p w:rsidR="006F0AB3" w:rsidRPr="009660DE" w:rsidRDefault="00A01350">
      <w:pPr>
        <w:rPr>
          <w:rFonts w:ascii="標楷體" w:eastAsia="標楷體" w:hAnsi="標楷體"/>
          <w:szCs w:val="24"/>
        </w:rPr>
      </w:pPr>
      <w:r w:rsidRPr="009660DE">
        <w:rPr>
          <w:rFonts w:ascii="標楷體" w:eastAsia="標楷體" w:hAnsi="標楷體" w:hint="eastAsia"/>
          <w:szCs w:val="24"/>
        </w:rPr>
        <w:lastRenderedPageBreak/>
        <w:t>附表</w:t>
      </w:r>
      <w:proofErr w:type="gramStart"/>
      <w:r w:rsidR="00606489" w:rsidRPr="009660DE">
        <w:rPr>
          <w:rFonts w:ascii="標楷體" w:eastAsia="標楷體" w:hAnsi="標楷體" w:hint="eastAsia"/>
          <w:szCs w:val="24"/>
        </w:rPr>
        <w:t>一</w:t>
      </w:r>
      <w:proofErr w:type="gramEnd"/>
      <w:r w:rsidR="00467A9F" w:rsidRPr="009660DE">
        <w:rPr>
          <w:rFonts w:ascii="標楷體" w:eastAsia="標楷體" w:hAnsi="標楷體" w:hint="eastAsia"/>
          <w:szCs w:val="24"/>
        </w:rPr>
        <w:t>（</w:t>
      </w:r>
      <w:r w:rsidR="00467A9F" w:rsidRPr="009660DE">
        <w:rPr>
          <w:rFonts w:ascii="標楷體" w:eastAsia="標楷體" w:hAnsi="標楷體"/>
          <w:szCs w:val="24"/>
        </w:rPr>
        <w:t>系爭專利請求項</w:t>
      </w:r>
      <w:r w:rsidR="00467A9F" w:rsidRPr="009660DE">
        <w:rPr>
          <w:rFonts w:ascii="標楷體" w:eastAsia="標楷體" w:hAnsi="標楷體" w:hint="eastAsia"/>
          <w:szCs w:val="24"/>
        </w:rPr>
        <w:t>1至</w:t>
      </w:r>
      <w:r w:rsidR="00346E99" w:rsidRPr="009660DE">
        <w:rPr>
          <w:rFonts w:ascii="標楷體" w:eastAsia="標楷體" w:hAnsi="標楷體" w:hint="eastAsia"/>
          <w:szCs w:val="24"/>
        </w:rPr>
        <w:t>2</w:t>
      </w:r>
      <w:r w:rsidR="000969DA">
        <w:rPr>
          <w:rFonts w:ascii="標楷體" w:eastAsia="標楷體" w:hAnsi="標楷體" w:hint="eastAsia"/>
          <w:szCs w:val="24"/>
        </w:rPr>
        <w:t>與</w:t>
      </w:r>
      <w:r w:rsidR="000969DA" w:rsidRPr="009660DE">
        <w:rPr>
          <w:rFonts w:ascii="標楷體" w:eastAsia="標楷體" w:hAnsi="標楷體"/>
          <w:szCs w:val="24"/>
        </w:rPr>
        <w:t>系爭</w:t>
      </w:r>
      <w:r w:rsidR="000969DA" w:rsidRPr="009660DE">
        <w:rPr>
          <w:rFonts w:ascii="標楷體" w:eastAsia="標楷體" w:hAnsi="標楷體" w:hint="eastAsia"/>
          <w:szCs w:val="24"/>
        </w:rPr>
        <w:t>方法</w:t>
      </w:r>
      <w:r w:rsidR="00467A9F" w:rsidRPr="009660DE">
        <w:rPr>
          <w:rFonts w:ascii="標楷體" w:eastAsia="標楷體" w:hAnsi="標楷體"/>
          <w:szCs w:val="24"/>
        </w:rPr>
        <w:t>之</w:t>
      </w:r>
      <w:r w:rsidR="00467A9F" w:rsidRPr="009660DE">
        <w:rPr>
          <w:rFonts w:ascii="標楷體" w:eastAsia="標楷體" w:hAnsi="標楷體" w:hint="eastAsia"/>
          <w:szCs w:val="24"/>
        </w:rPr>
        <w:t>比對</w:t>
      </w:r>
      <w:r w:rsidR="00467A9F" w:rsidRPr="009660DE">
        <w:rPr>
          <w:rFonts w:ascii="標楷體" w:eastAsia="標楷體" w:hAnsi="標楷體"/>
          <w:szCs w:val="24"/>
        </w:rPr>
        <w:t>表</w:t>
      </w:r>
      <w:r w:rsidR="00467A9F" w:rsidRPr="009660DE">
        <w:rPr>
          <w:rFonts w:ascii="標楷體" w:eastAsia="標楷體" w:hAnsi="標楷體" w:hint="eastAsia"/>
          <w:szCs w:val="24"/>
        </w:rPr>
        <w:t>）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A0"/>
      </w:tblPr>
      <w:tblGrid>
        <w:gridCol w:w="533"/>
        <w:gridCol w:w="568"/>
        <w:gridCol w:w="3685"/>
        <w:gridCol w:w="567"/>
        <w:gridCol w:w="3402"/>
      </w:tblGrid>
      <w:tr w:rsidR="00467A9F" w:rsidRPr="009660DE" w:rsidTr="004F11B3">
        <w:trPr>
          <w:trHeight w:val="478"/>
        </w:trPr>
        <w:tc>
          <w:tcPr>
            <w:tcW w:w="4786" w:type="dxa"/>
            <w:gridSpan w:val="3"/>
            <w:shd w:val="clear" w:color="auto" w:fill="FFFFFF" w:themeFill="background1"/>
            <w:vAlign w:val="center"/>
          </w:tcPr>
          <w:p w:rsidR="00467A9F" w:rsidRPr="009660DE" w:rsidRDefault="00467A9F" w:rsidP="00346E99">
            <w:pPr>
              <w:spacing w:after="180"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系爭專利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vAlign w:val="center"/>
          </w:tcPr>
          <w:p w:rsidR="00467A9F" w:rsidRPr="009660DE" w:rsidRDefault="00467A9F" w:rsidP="00346E99">
            <w:pPr>
              <w:spacing w:after="180"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系爭方法</w:t>
            </w:r>
          </w:p>
        </w:tc>
      </w:tr>
      <w:tr w:rsidR="00467A9F" w:rsidRPr="009660DE" w:rsidTr="009660DE">
        <w:trPr>
          <w:trHeight w:val="1131"/>
        </w:trPr>
        <w:tc>
          <w:tcPr>
            <w:tcW w:w="533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請求項</w:t>
            </w: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要件標號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技術特徵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要件標號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技術內容</w:t>
            </w:r>
          </w:p>
        </w:tc>
      </w:tr>
      <w:tr w:rsidR="00467A9F" w:rsidRPr="009660DE" w:rsidTr="009660DE">
        <w:tc>
          <w:tcPr>
            <w:tcW w:w="533" w:type="dxa"/>
            <w:vMerge w:val="restart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</w:t>
            </w:r>
            <w:r w:rsidRPr="009660DE">
              <w:rPr>
                <w:rFonts w:ascii="標楷體" w:eastAsia="標楷體" w:hAnsi="標楷體"/>
                <w:szCs w:val="24"/>
              </w:rPr>
              <w:t>A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一種</w:t>
            </w:r>
            <w:proofErr w:type="gramStart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原紗披覆押出包紗法</w:t>
            </w:r>
            <w:proofErr w:type="gramEnd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，係針對1000丹尼(D)(含)以下或外徑0.25m/m(含)以下之熱可塑性塑膠暨其複合材料包覆纖維</w:t>
            </w:r>
            <w:proofErr w:type="gramStart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原紗的披覆包紗法</w:t>
            </w:r>
            <w:proofErr w:type="gramEnd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 xml:space="preserve">，係包含以下程序：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一種</w:t>
            </w:r>
            <w:proofErr w:type="gramStart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原紗披覆押出包紗法</w:t>
            </w:r>
            <w:proofErr w:type="gramEnd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，係針對1000丹尼(含)以下或以</w:t>
            </w:r>
            <w:r w:rsidRPr="009660DE">
              <w:rPr>
                <w:rFonts w:ascii="標楷體" w:eastAsia="標楷體" w:hAnsi="標楷體" w:cs="Arial" w:hint="eastAsia"/>
                <w:color w:val="000000"/>
                <w:szCs w:val="24"/>
              </w:rPr>
              <w:t>上</w:t>
            </w:r>
            <w:proofErr w:type="gramStart"/>
            <w:r w:rsidRPr="009660DE">
              <w:rPr>
                <w:rFonts w:ascii="標楷體" w:eastAsia="標楷體" w:hAnsi="標楷體" w:cs="Arial" w:hint="eastAsia"/>
                <w:color w:val="000000"/>
                <w:szCs w:val="24"/>
              </w:rPr>
              <w:t>一</w:t>
            </w:r>
            <w:proofErr w:type="gramEnd"/>
            <w:r w:rsidRPr="009660DE">
              <w:rPr>
                <w:rFonts w:ascii="標楷體" w:eastAsia="標楷體" w:hAnsi="標楷體" w:cs="Arial" w:hint="eastAsia"/>
                <w:color w:val="000000"/>
                <w:szCs w:val="24"/>
              </w:rPr>
              <w:t>範圍</w:t>
            </w:r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之熱可塑性塑膠暨其複合材料包覆纖維</w:t>
            </w:r>
            <w:proofErr w:type="gramStart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>原紗的披覆包紗法</w:t>
            </w:r>
            <w:proofErr w:type="gramEnd"/>
            <w:r w:rsidRPr="009660DE">
              <w:rPr>
                <w:rFonts w:ascii="標楷體" w:eastAsia="標楷體" w:hAnsi="標楷體" w:cs="Arial"/>
                <w:color w:val="000000"/>
                <w:szCs w:val="24"/>
              </w:rPr>
              <w:t xml:space="preserve">，係包含以下程序： </w:t>
            </w:r>
          </w:p>
        </w:tc>
      </w:tr>
      <w:tr w:rsidR="00467A9F" w:rsidRPr="009660DE" w:rsidTr="009660DE">
        <w:trPr>
          <w:trHeight w:val="1185"/>
        </w:trPr>
        <w:tc>
          <w:tcPr>
            <w:tcW w:w="533" w:type="dxa"/>
            <w:vMerge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1B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出紗程序：係主要將一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捲原紗套置於紗架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之底座，而將拉出的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原紗繞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經紗架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一光滑導座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後拉向押出機；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1b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出紗程序：係將一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捲原紗套置於紗架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之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中段處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，而拉出的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原紗繞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經紗架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上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組金屬製之</w:t>
            </w:r>
            <w:proofErr w:type="gramStart"/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夾紗片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後拉向押出機；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</w:tr>
      <w:tr w:rsidR="00467A9F" w:rsidRPr="009660DE" w:rsidTr="009660DE">
        <w:trPr>
          <w:trHeight w:val="471"/>
        </w:trPr>
        <w:tc>
          <w:tcPr>
            <w:tcW w:w="533" w:type="dxa"/>
            <w:vMerge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1C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披覆程序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：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將紗架拉出的原紗穿過一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押出機之成型模，以平行押出之流體塑膠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料披覆於原紗外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表面後拉向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冷卻槽；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1c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披覆程序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：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將紗架拉出的原紗穿過一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押出機之成型模，以平行押出之流體塑膠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料披覆於原紗外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表面後拉向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冷卻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水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槽；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</w:tr>
      <w:tr w:rsidR="00467A9F" w:rsidRPr="009660DE" w:rsidTr="009660DE">
        <w:trPr>
          <w:trHeight w:val="476"/>
        </w:trPr>
        <w:tc>
          <w:tcPr>
            <w:tcW w:w="533" w:type="dxa"/>
            <w:vMerge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1D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定型程序：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原紗於塑膠料披覆成型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後可拉經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冷卻槽內一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橢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輪，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使披覆成型原紗冷卻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定型再拉向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一引取機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1d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定型程序：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原紗於塑膠料披覆成型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後可拉經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冷卻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水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槽內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，通過冷卻水槽中央處具有孔洞的金屬片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，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使披覆成型原紗</w:t>
            </w:r>
            <w:proofErr w:type="gramEnd"/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穿過金屬片孔洞後，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冷卻定型再拉向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一引取機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；</w:t>
            </w:r>
            <w:r w:rsidRPr="009660DE">
              <w:rPr>
                <w:rFonts w:ascii="標楷體" w:hAnsi="標楷體" w:hint="eastAsia"/>
                <w:b w:val="0"/>
                <w:sz w:val="24"/>
              </w:rPr>
              <w:t xml:space="preserve"> </w:t>
            </w:r>
          </w:p>
        </w:tc>
      </w:tr>
      <w:tr w:rsidR="00467A9F" w:rsidRPr="009660DE" w:rsidTr="009660DE">
        <w:tc>
          <w:tcPr>
            <w:tcW w:w="533" w:type="dxa"/>
            <w:vMerge/>
            <w:shd w:val="clear" w:color="auto" w:fill="FFFFFF" w:themeFill="background1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 w:cs="新細明體"/>
                <w:b w:val="0"/>
                <w:kern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速度穩定程序：將冷卻定型後的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披覆原紗繞組於引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取機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一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由馬達帶動的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穩速導輪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再拉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向收紗機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，由單一條件控制整個生產線的穩定速度；</w:t>
            </w:r>
            <w:r w:rsidRPr="009660DE">
              <w:rPr>
                <w:rFonts w:ascii="標楷體" w:hAnsi="標楷體" w:cs="新細明體" w:hint="eastAsia"/>
                <w:b w:val="0"/>
                <w:kern w:val="0"/>
                <w:sz w:val="24"/>
              </w:rPr>
              <w:t xml:space="preserve">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 w:cs="新細明體"/>
                <w:b w:val="0"/>
                <w:kern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速度穩定程序：將冷卻定型後的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披覆原紗繞組於引取機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由馬達帶動的</w:t>
            </w:r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上下兩</w:t>
            </w:r>
            <w:proofErr w:type="gramStart"/>
            <w:r w:rsidRPr="009660DE">
              <w:rPr>
                <w:rFonts w:ascii="標楷體" w:hAnsi="標楷體" w:cs="Arial" w:hint="eastAsia"/>
                <w:b w:val="0"/>
                <w:color w:val="000000"/>
                <w:sz w:val="24"/>
              </w:rPr>
              <w:t>個</w:t>
            </w: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穩速導輪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再拉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向收紗機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，由單一條件控制整個生產線的穩定速度；</w:t>
            </w:r>
            <w:r w:rsidRPr="009660DE">
              <w:rPr>
                <w:rFonts w:ascii="標楷體" w:hAnsi="標楷體" w:cs="新細明體" w:hint="eastAsia"/>
                <w:b w:val="0"/>
                <w:kern w:val="0"/>
                <w:sz w:val="24"/>
              </w:rPr>
              <w:t xml:space="preserve"> </w:t>
            </w:r>
          </w:p>
        </w:tc>
      </w:tr>
      <w:tr w:rsidR="00467A9F" w:rsidRPr="009660DE" w:rsidTr="004F11B3">
        <w:trPr>
          <w:trHeight w:val="1267"/>
        </w:trPr>
        <w:tc>
          <w:tcPr>
            <w:tcW w:w="533" w:type="dxa"/>
            <w:vMerge/>
            <w:shd w:val="clear" w:color="auto" w:fill="FFFFFF" w:themeFill="background1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1F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收紗程序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：將引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取機導輪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拉出的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披覆原紗繞組於收紗機之捲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取輪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捲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收。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1f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收紗程序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：將引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取機導輪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拉出的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披覆原紗繞組於收紗機之捲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取輪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捲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收。</w:t>
            </w:r>
          </w:p>
        </w:tc>
      </w:tr>
      <w:tr w:rsidR="00467A9F" w:rsidRPr="009660DE" w:rsidTr="009660DE">
        <w:trPr>
          <w:trHeight w:val="528"/>
        </w:trPr>
        <w:tc>
          <w:tcPr>
            <w:tcW w:w="533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68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2G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其中，冷卻槽可為一具有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橢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輪的水槽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供披覆原紗繞組該橢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輪形成冷卻導引。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660DE">
              <w:rPr>
                <w:rFonts w:ascii="標楷體" w:eastAsia="標楷體" w:hAnsi="標楷體" w:hint="eastAsia"/>
                <w:szCs w:val="24"/>
              </w:rPr>
              <w:t>2g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467A9F" w:rsidRPr="009660DE" w:rsidRDefault="00467A9F" w:rsidP="00C41700">
            <w:pPr>
              <w:pStyle w:val="Level2"/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 w:val="0"/>
                <w:sz w:val="24"/>
              </w:rPr>
            </w:pPr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其中，冷卻槽為一水槽</w:t>
            </w:r>
            <w:proofErr w:type="gramStart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供披覆原紗冷卻</w:t>
            </w:r>
            <w:proofErr w:type="gramEnd"/>
            <w:r w:rsidRPr="009660DE">
              <w:rPr>
                <w:rFonts w:ascii="標楷體" w:hAnsi="標楷體" w:cs="Arial"/>
                <w:b w:val="0"/>
                <w:color w:val="000000"/>
                <w:sz w:val="24"/>
              </w:rPr>
              <w:t>。</w:t>
            </w:r>
          </w:p>
        </w:tc>
      </w:tr>
    </w:tbl>
    <w:p w:rsidR="00A01350" w:rsidRPr="009660DE" w:rsidRDefault="00A01350" w:rsidP="004F11B3">
      <w:pPr>
        <w:rPr>
          <w:rFonts w:ascii="標楷體" w:eastAsia="標楷體" w:hAnsi="標楷體"/>
          <w:szCs w:val="24"/>
        </w:rPr>
      </w:pPr>
    </w:p>
    <w:sectPr w:rsidR="00A01350" w:rsidRPr="009660DE" w:rsidSect="006F0A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57F" w:rsidRDefault="0054557F" w:rsidP="000938DB">
      <w:r>
        <w:separator/>
      </w:r>
    </w:p>
  </w:endnote>
  <w:endnote w:type="continuationSeparator" w:id="0">
    <w:p w:rsidR="0054557F" w:rsidRDefault="0054557F" w:rsidP="00093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57F" w:rsidRDefault="0054557F" w:rsidP="000938DB">
      <w:r>
        <w:separator/>
      </w:r>
    </w:p>
  </w:footnote>
  <w:footnote w:type="continuationSeparator" w:id="0">
    <w:p w:rsidR="0054557F" w:rsidRDefault="0054557F" w:rsidP="000938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D9BA7710"/>
    <w:lvl w:ilvl="0">
      <w:start w:val="1"/>
      <w:numFmt w:val="ideographLegalTraditional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1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2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1350"/>
    <w:rsid w:val="00087018"/>
    <w:rsid w:val="000938DB"/>
    <w:rsid w:val="000969DA"/>
    <w:rsid w:val="002A3FB4"/>
    <w:rsid w:val="002F2561"/>
    <w:rsid w:val="00346E99"/>
    <w:rsid w:val="00467A9F"/>
    <w:rsid w:val="004A211C"/>
    <w:rsid w:val="004F11B3"/>
    <w:rsid w:val="0054557F"/>
    <w:rsid w:val="00606489"/>
    <w:rsid w:val="006750E2"/>
    <w:rsid w:val="006F0AB3"/>
    <w:rsid w:val="007E6CFA"/>
    <w:rsid w:val="009660DE"/>
    <w:rsid w:val="00A01350"/>
    <w:rsid w:val="00A149D0"/>
    <w:rsid w:val="00AA2424"/>
    <w:rsid w:val="00D2063A"/>
    <w:rsid w:val="00D754A1"/>
    <w:rsid w:val="00FB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AB3"/>
    <w:pPr>
      <w:widowControl w:val="0"/>
    </w:pPr>
  </w:style>
  <w:style w:type="paragraph" w:styleId="3">
    <w:name w:val="heading 3"/>
    <w:basedOn w:val="a"/>
    <w:next w:val="a"/>
    <w:link w:val="30"/>
    <w:semiHidden/>
    <w:unhideWhenUsed/>
    <w:qFormat/>
    <w:rsid w:val="00606489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606489"/>
    <w:rPr>
      <w:rFonts w:ascii="Cambria" w:hAnsi="Cambria"/>
      <w:b/>
      <w:bCs/>
      <w:kern w:val="2"/>
      <w:sz w:val="36"/>
      <w:szCs w:val="36"/>
    </w:rPr>
  </w:style>
  <w:style w:type="paragraph" w:customStyle="1" w:styleId="Level1">
    <w:name w:val="Level1"/>
    <w:basedOn w:val="a"/>
    <w:rsid w:val="00606489"/>
    <w:pPr>
      <w:numPr>
        <w:ilvl w:val="1"/>
        <w:numId w:val="1"/>
      </w:numPr>
      <w:tabs>
        <w:tab w:val="clear" w:pos="992"/>
        <w:tab w:val="num" w:pos="568"/>
      </w:tabs>
      <w:spacing w:afterLines="50" w:line="480" w:lineRule="exact"/>
      <w:ind w:left="936" w:hanging="652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606489"/>
    <w:pPr>
      <w:numPr>
        <w:ilvl w:val="2"/>
        <w:numId w:val="1"/>
      </w:numPr>
      <w:tabs>
        <w:tab w:val="clear" w:pos="5067"/>
        <w:tab w:val="num" w:pos="992"/>
      </w:tabs>
      <w:spacing w:line="480" w:lineRule="exact"/>
      <w:ind w:left="992" w:hanging="567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606489"/>
    <w:pPr>
      <w:tabs>
        <w:tab w:val="num" w:pos="5067"/>
      </w:tabs>
      <w:spacing w:beforeLines="50" w:line="480" w:lineRule="exact"/>
      <w:ind w:left="5344" w:hanging="844"/>
    </w:pPr>
    <w:rPr>
      <w:rFonts w:ascii="Book Antiqua" w:eastAsia="標楷體" w:hAnsi="Book Antiqua" w:cs="Times New Roman"/>
      <w:b/>
      <w:sz w:val="28"/>
      <w:szCs w:val="24"/>
    </w:rPr>
  </w:style>
  <w:style w:type="character" w:customStyle="1" w:styleId="31">
    <w:name w:val="標題 3 字元1"/>
    <w:basedOn w:val="a0"/>
    <w:link w:val="3"/>
    <w:uiPriority w:val="9"/>
    <w:semiHidden/>
    <w:rsid w:val="00606489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Balloon Text"/>
    <w:basedOn w:val="a"/>
    <w:link w:val="a4"/>
    <w:uiPriority w:val="99"/>
    <w:semiHidden/>
    <w:unhideWhenUsed/>
    <w:rsid w:val="006064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0648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093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938DB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93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938D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846</Words>
  <Characters>880</Characters>
  <Application>Microsoft Office Word</Application>
  <DocSecurity>0</DocSecurity>
  <Lines>164</Lines>
  <Paragraphs>49</Paragraphs>
  <ScaleCrop>false</ScaleCrop>
  <Company>IPC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蕭仁豪</cp:lastModifiedBy>
  <cp:revision>5</cp:revision>
  <dcterms:created xsi:type="dcterms:W3CDTF">2016-04-15T08:33:00Z</dcterms:created>
  <dcterms:modified xsi:type="dcterms:W3CDTF">2016-04-18T02:23:00Z</dcterms:modified>
</cp:coreProperties>
</file>