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83F" w:rsidRPr="00CF0BE2" w:rsidRDefault="00CF0BE2" w:rsidP="005328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附表二：本院</w:t>
      </w:r>
      <w:r w:rsidR="0053283F" w:rsidRPr="00CF0BE2">
        <w:rPr>
          <w:rFonts w:ascii="標楷體" w:eastAsia="標楷體" w:hAnsi="標楷體" w:hint="eastAsia"/>
        </w:rPr>
        <w:t>104</w:t>
      </w:r>
      <w:r>
        <w:rPr>
          <w:rFonts w:ascii="標楷體" w:eastAsia="標楷體" w:hAnsi="標楷體" w:hint="eastAsia"/>
        </w:rPr>
        <w:t>年度</w:t>
      </w:r>
      <w:r w:rsidR="0053283F" w:rsidRPr="00CF0BE2">
        <w:rPr>
          <w:rFonts w:ascii="標楷體" w:eastAsia="標楷體" w:hAnsi="標楷體" w:hint="eastAsia"/>
        </w:rPr>
        <w:t>重訴</w:t>
      </w:r>
      <w:r>
        <w:rPr>
          <w:rFonts w:ascii="標楷體" w:eastAsia="標楷體" w:hAnsi="標楷體" w:hint="eastAsia"/>
        </w:rPr>
        <w:t>字第</w:t>
      </w:r>
      <w:r w:rsidR="0053283F" w:rsidRPr="00CF0BE2">
        <w:rPr>
          <w:rFonts w:ascii="標楷體" w:eastAsia="標楷體" w:hAnsi="標楷體" w:hint="eastAsia"/>
        </w:rPr>
        <w:t>203</w:t>
      </w:r>
      <w:r>
        <w:rPr>
          <w:rFonts w:ascii="標楷體" w:eastAsia="標楷體" w:hAnsi="標楷體" w:hint="eastAsia"/>
        </w:rPr>
        <w:t>號</w:t>
      </w:r>
      <w:r w:rsidR="0053283F" w:rsidRPr="00CF0BE2">
        <w:rPr>
          <w:rFonts w:ascii="標楷體" w:eastAsia="標楷體" w:hAnsi="標楷體" w:hint="eastAsia"/>
          <w:szCs w:val="24"/>
        </w:rPr>
        <w:t xml:space="preserve"> 被告異動情形</w:t>
      </w:r>
      <w:r w:rsidR="0053283F" w:rsidRPr="00CF0BE2">
        <w:rPr>
          <w:rFonts w:ascii="標楷體" w:eastAsia="標楷體" w:hAnsi="標楷體" w:hint="eastAsia"/>
        </w:rPr>
        <w:t xml:space="preserve">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35"/>
        <w:gridCol w:w="4602"/>
      </w:tblGrid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jc w:val="center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jc w:val="center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起訴時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jc w:val="center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異動原因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35" w:type="dxa"/>
          </w:tcPr>
          <w:p w:rsidR="00CF0BE2" w:rsidRPr="00CF0BE2" w:rsidRDefault="00CF0BE2" w:rsidP="0053283F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台北市政府工務局新建工程處</w:t>
            </w:r>
          </w:p>
        </w:tc>
        <w:tc>
          <w:tcPr>
            <w:tcW w:w="4602" w:type="dxa"/>
          </w:tcPr>
          <w:p w:rsidR="00CF0BE2" w:rsidRPr="00CF0BE2" w:rsidRDefault="00CF0BE2" w:rsidP="00CF0BE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法定代理人原為「黃治峯」，嗣變更為「林志峯」，有卷附臺北市政府令可憑，並經林志峯具狀聲明承受訴訟（見本院卷七第95至98頁），核與民事訴訟法第170、175條條規定相符，應予准許。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謝明鴻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謝秀鸞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莊謝職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莊謝職於訴訟中之106年12月21日死亡，其全體繼承人為莊揮政、莊聰明、莊德煌、莊德村，有卷附莊謝職、莊金玉除戶戶籍謄本、莊揮政、莊聰明、莊德煌、莊德村戶籍謄本、繼承系統表、本院民事紀錄科查詢表可憑（見本院卷七第28至40、72頁）， 並經莊揮政、莊聰明、莊德煌、莊德村107年3月29日具狀聲明莊揮政、莊聰明、莊德煌、莊德村承受訴訟（見本院卷七第25頁）</w:t>
            </w:r>
            <w:r w:rsidR="003B5B19">
              <w:rPr>
                <w:rFonts w:ascii="標楷體" w:eastAsia="標楷體" w:hAnsi="標楷體" w:hint="eastAsia"/>
              </w:rPr>
              <w:t>，核與民事訴訟法第168、175條規定相符，應予准許</w:t>
            </w:r>
            <w:r w:rsidRPr="00CF0BE2">
              <w:rPr>
                <w:rFonts w:ascii="標楷體" w:eastAsia="標楷體" w:hAnsi="標楷體" w:hint="eastAsia"/>
              </w:rPr>
              <w:t>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謝林邁</w:t>
            </w:r>
          </w:p>
        </w:tc>
        <w:tc>
          <w:tcPr>
            <w:tcW w:w="4602" w:type="dxa"/>
          </w:tcPr>
          <w:p w:rsidR="00CF0BE2" w:rsidRPr="00CF0BE2" w:rsidRDefault="00CF0BE2" w:rsidP="00CF0BE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撤回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謝秋淑</w:t>
            </w:r>
          </w:p>
        </w:tc>
        <w:tc>
          <w:tcPr>
            <w:tcW w:w="4602" w:type="dxa"/>
          </w:tcPr>
          <w:p w:rsidR="00CF0BE2" w:rsidRDefault="00CF0BE2">
            <w:r w:rsidRPr="00222C9A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謝春蘭</w:t>
            </w:r>
          </w:p>
        </w:tc>
        <w:tc>
          <w:tcPr>
            <w:tcW w:w="4602" w:type="dxa"/>
          </w:tcPr>
          <w:p w:rsidR="00CF0BE2" w:rsidRDefault="00CF0BE2">
            <w:r w:rsidRPr="00222C9A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謝進財</w:t>
            </w:r>
          </w:p>
        </w:tc>
        <w:tc>
          <w:tcPr>
            <w:tcW w:w="4602" w:type="dxa"/>
          </w:tcPr>
          <w:p w:rsidR="00CF0BE2" w:rsidRDefault="00CF0BE2">
            <w:r w:rsidRPr="00222C9A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謝文華</w:t>
            </w:r>
          </w:p>
        </w:tc>
        <w:tc>
          <w:tcPr>
            <w:tcW w:w="4602" w:type="dxa"/>
          </w:tcPr>
          <w:p w:rsidR="00CF0BE2" w:rsidRDefault="00CF0BE2">
            <w:r w:rsidRPr="00222C9A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謝金珠</w:t>
            </w:r>
          </w:p>
        </w:tc>
        <w:tc>
          <w:tcPr>
            <w:tcW w:w="4602" w:type="dxa"/>
          </w:tcPr>
          <w:p w:rsidR="00CF0BE2" w:rsidRDefault="00CF0BE2">
            <w:r w:rsidRPr="00222C9A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林明堂</w:t>
            </w:r>
          </w:p>
        </w:tc>
        <w:tc>
          <w:tcPr>
            <w:tcW w:w="4602" w:type="dxa"/>
          </w:tcPr>
          <w:p w:rsidR="00CF0BE2" w:rsidRDefault="00CF0BE2">
            <w:r w:rsidRPr="00222C9A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林文正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撤回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林論</w:t>
            </w:r>
          </w:p>
        </w:tc>
        <w:tc>
          <w:tcPr>
            <w:tcW w:w="4602" w:type="dxa"/>
          </w:tcPr>
          <w:p w:rsidR="00CF0BE2" w:rsidRDefault="00CF0BE2">
            <w:r w:rsidRPr="00490C10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鄭怡芳</w:t>
            </w:r>
          </w:p>
        </w:tc>
        <w:tc>
          <w:tcPr>
            <w:tcW w:w="4602" w:type="dxa"/>
          </w:tcPr>
          <w:p w:rsidR="00CF0BE2" w:rsidRDefault="00CF0BE2">
            <w:r w:rsidRPr="00490C10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鄭淳方</w:t>
            </w:r>
          </w:p>
        </w:tc>
        <w:tc>
          <w:tcPr>
            <w:tcW w:w="4602" w:type="dxa"/>
          </w:tcPr>
          <w:p w:rsidR="00CF0BE2" w:rsidRDefault="00CF0BE2">
            <w:r w:rsidRPr="00490C10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rPr>
          <w:trHeight w:val="724"/>
        </w:trPr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635" w:type="dxa"/>
          </w:tcPr>
          <w:p w:rsidR="00CF0BE2" w:rsidRPr="00CF0BE2" w:rsidRDefault="00CF0BE2" w:rsidP="007603B7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蕭鈺樺</w:t>
            </w:r>
          </w:p>
        </w:tc>
        <w:tc>
          <w:tcPr>
            <w:tcW w:w="4602" w:type="dxa"/>
          </w:tcPr>
          <w:p w:rsidR="00CF0BE2" w:rsidRDefault="00CF0BE2">
            <w:r w:rsidRPr="00490C10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謝義興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謝義興就678地號土地原有應有部分30分之1，嗣於104年7月13</w:t>
            </w:r>
            <w:r w:rsidR="00310D77">
              <w:rPr>
                <w:rFonts w:ascii="標楷體" w:eastAsia="標楷體" w:hAnsi="標楷體" w:hint="eastAsia"/>
              </w:rPr>
              <w:t>日以買賣為原因移轉登記予施鍊岸，並</w:t>
            </w:r>
            <w:r w:rsidRPr="00CF0BE2">
              <w:rPr>
                <w:rFonts w:ascii="標楷體" w:eastAsia="標楷體" w:hAnsi="標楷體" w:hint="eastAsia"/>
              </w:rPr>
              <w:t>聲請承當訴訟（見本院卷三第10</w:t>
            </w:r>
            <w:r w:rsidR="00310D77">
              <w:rPr>
                <w:rFonts w:ascii="標楷體" w:eastAsia="標楷體" w:hAnsi="標楷體" w:hint="eastAsia"/>
              </w:rPr>
              <w:t>頁反面</w:t>
            </w:r>
            <w:r w:rsidRPr="00CF0BE2">
              <w:rPr>
                <w:rFonts w:ascii="標楷體" w:eastAsia="標楷體" w:hAnsi="標楷體" w:hint="eastAsia"/>
              </w:rPr>
              <w:t>）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王淑貞</w:t>
            </w:r>
          </w:p>
        </w:tc>
        <w:tc>
          <w:tcPr>
            <w:tcW w:w="4602" w:type="dxa"/>
          </w:tcPr>
          <w:p w:rsidR="00CF0BE2" w:rsidRDefault="00CF0BE2">
            <w:r w:rsidRPr="00E10DBE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lastRenderedPageBreak/>
              <w:t>19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謝莉娟</w:t>
            </w:r>
          </w:p>
        </w:tc>
        <w:tc>
          <w:tcPr>
            <w:tcW w:w="4602" w:type="dxa"/>
          </w:tcPr>
          <w:p w:rsidR="00CF0BE2" w:rsidRDefault="00CF0BE2">
            <w:r w:rsidRPr="00E10DBE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635" w:type="dxa"/>
          </w:tcPr>
          <w:p w:rsidR="00CF0BE2" w:rsidRPr="00CF0BE2" w:rsidRDefault="00CF0BE2" w:rsidP="00375C76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謝尚儒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陳粉茸</w:t>
            </w:r>
          </w:p>
        </w:tc>
        <w:tc>
          <w:tcPr>
            <w:tcW w:w="4602" w:type="dxa"/>
          </w:tcPr>
          <w:p w:rsidR="00CF0BE2" w:rsidRDefault="00CF0BE2">
            <w:r w:rsidRPr="004651D9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謝光裕</w:t>
            </w:r>
          </w:p>
        </w:tc>
        <w:tc>
          <w:tcPr>
            <w:tcW w:w="4602" w:type="dxa"/>
          </w:tcPr>
          <w:p w:rsidR="00CF0BE2" w:rsidRDefault="00CF0BE2">
            <w:r w:rsidRPr="004651D9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 xml:space="preserve">謝娥 </w:t>
            </w:r>
          </w:p>
        </w:tc>
        <w:tc>
          <w:tcPr>
            <w:tcW w:w="4602" w:type="dxa"/>
          </w:tcPr>
          <w:p w:rsidR="00CF0BE2" w:rsidRPr="00CF0BE2" w:rsidRDefault="00CF0BE2" w:rsidP="00CF0BE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被告謝娥於起訴前民國71年6月間死亡，其全體繼承人為吳怡慧、吳秉樵，有卷附謝娥除戶戶籍謄本、吳怡慧、吳秉樵戶籍謄本、繼承系統表(見本院卷一第</w:t>
            </w:r>
            <w:r w:rsidR="006F5EE1">
              <w:rPr>
                <w:rFonts w:ascii="標楷體" w:eastAsia="標楷體" w:hAnsi="標楷體" w:hint="eastAsia"/>
              </w:rPr>
              <w:t>1</w:t>
            </w:r>
            <w:r w:rsidRPr="00CF0BE2">
              <w:rPr>
                <w:rFonts w:ascii="標楷體" w:eastAsia="標楷體" w:hAnsi="標楷體" w:hint="eastAsia"/>
              </w:rPr>
              <w:t>76-181、卷五第237頁)，並經原告104年6月11日具狀追加吳怡慧、吳秉樵為被告（見本院卷一第163頁）。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謝沛縈</w:t>
            </w:r>
          </w:p>
        </w:tc>
        <w:tc>
          <w:tcPr>
            <w:tcW w:w="4602" w:type="dxa"/>
          </w:tcPr>
          <w:p w:rsidR="00CF0BE2" w:rsidRDefault="00CF0BE2">
            <w:r w:rsidRPr="00D7572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謝信昌</w:t>
            </w:r>
          </w:p>
        </w:tc>
        <w:tc>
          <w:tcPr>
            <w:tcW w:w="4602" w:type="dxa"/>
          </w:tcPr>
          <w:p w:rsidR="00CF0BE2" w:rsidRDefault="00CF0BE2">
            <w:r w:rsidRPr="00D7572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施鍊岸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663-1號土地原共有人謝金生、王好欸分別於104年7、9月以買賣將其應有部分全部移轉予被告施鍊岸，經原告104年12月18</w:t>
            </w:r>
            <w:r w:rsidR="006F5EE1">
              <w:rPr>
                <w:rFonts w:ascii="標楷體" w:eastAsia="標楷體" w:hAnsi="標楷體" w:hint="eastAsia"/>
              </w:rPr>
              <w:t>日聲請承當訴</w:t>
            </w:r>
            <w:r w:rsidRPr="00CF0BE2">
              <w:rPr>
                <w:rFonts w:ascii="標楷體" w:eastAsia="標楷體" w:hAnsi="標楷體" w:hint="eastAsia"/>
              </w:rPr>
              <w:t>訟(見本院卷三第10頁)。</w:t>
            </w:r>
            <w:r w:rsidRPr="00CF0BE2">
              <w:rPr>
                <w:rFonts w:ascii="標楷體" w:eastAsia="標楷體" w:hAnsi="標楷體"/>
              </w:rPr>
              <w:t xml:space="preserve"> </w:t>
            </w:r>
          </w:p>
          <w:p w:rsidR="00CF0BE2" w:rsidRPr="00CF0BE2" w:rsidRDefault="00CF0BE2" w:rsidP="009F5192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678號土地原共有人謝義興於104年6月以買賣將其應有部分全部移轉予被告施鍊岸，經原告104年12月18日聲請承當訴訟(見本院卷三第</w:t>
            </w:r>
            <w:r w:rsidR="006F5EE1">
              <w:rPr>
                <w:rFonts w:ascii="標楷體" w:eastAsia="標楷體" w:hAnsi="標楷體" w:hint="eastAsia"/>
              </w:rPr>
              <w:t>10</w:t>
            </w:r>
            <w:r w:rsidRPr="00CF0BE2">
              <w:rPr>
                <w:rFonts w:ascii="標楷體" w:eastAsia="標楷體" w:hAnsi="標楷體" w:hint="eastAsia"/>
              </w:rPr>
              <w:t>頁</w:t>
            </w:r>
            <w:r w:rsidR="006F5EE1">
              <w:rPr>
                <w:rFonts w:ascii="標楷體" w:eastAsia="標楷體" w:hAnsi="標楷體" w:hint="eastAsia"/>
              </w:rPr>
              <w:t>反面</w:t>
            </w:r>
            <w:r w:rsidRPr="00CF0BE2">
              <w:rPr>
                <w:rFonts w:ascii="標楷體" w:eastAsia="標楷體" w:hAnsi="標楷體" w:hint="eastAsia"/>
              </w:rPr>
              <w:t>) 。</w:t>
            </w:r>
          </w:p>
          <w:p w:rsidR="00CF0BE2" w:rsidRPr="00CF0BE2" w:rsidRDefault="00CF0BE2" w:rsidP="009F5192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679號土地原共有人謝炎山、謝義興於104年4、6月分別以交換、買賣將其應有部分全部移轉予被告施鍊岸，經原告104年12月18</w:t>
            </w:r>
            <w:r w:rsidR="006F5EE1">
              <w:rPr>
                <w:rFonts w:ascii="標楷體" w:eastAsia="標楷體" w:hAnsi="標楷體" w:hint="eastAsia"/>
              </w:rPr>
              <w:t>日聲請承當訴</w:t>
            </w:r>
            <w:r w:rsidRPr="00CF0BE2">
              <w:rPr>
                <w:rFonts w:ascii="標楷體" w:eastAsia="標楷體" w:hAnsi="標楷體" w:hint="eastAsia"/>
              </w:rPr>
              <w:t>訟(見本院卷三第10頁</w:t>
            </w:r>
            <w:r w:rsidR="006F5EE1">
              <w:rPr>
                <w:rFonts w:ascii="標楷體" w:eastAsia="標楷體" w:hAnsi="標楷體" w:hint="eastAsia"/>
              </w:rPr>
              <w:t>反面</w:t>
            </w:r>
            <w:r w:rsidRPr="00CF0BE2">
              <w:rPr>
                <w:rFonts w:ascii="標楷體" w:eastAsia="標楷體" w:hAnsi="標楷體" w:hint="eastAsia"/>
              </w:rPr>
              <w:t>) 。</w:t>
            </w:r>
          </w:p>
          <w:p w:rsidR="00CF0BE2" w:rsidRPr="00CF0BE2" w:rsidRDefault="00CF0BE2" w:rsidP="009F5192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682號土地原共有人謝炎山、謝義興於104年4、6月分別以交換、買賣將其應有部分全部移轉予被告施鍊岸，經原告聲請104年12月18日承當</w:t>
            </w:r>
            <w:r w:rsidR="006F5EE1">
              <w:rPr>
                <w:rFonts w:ascii="標楷體" w:eastAsia="標楷體" w:hAnsi="標楷體" w:hint="eastAsia"/>
              </w:rPr>
              <w:t>訴訟</w:t>
            </w:r>
            <w:r w:rsidRPr="00CF0BE2">
              <w:rPr>
                <w:rFonts w:ascii="標楷體" w:eastAsia="標楷體" w:hAnsi="標楷體" w:hint="eastAsia"/>
              </w:rPr>
              <w:t>(見本院卷三第10頁</w:t>
            </w:r>
            <w:r w:rsidR="00305012">
              <w:rPr>
                <w:rFonts w:ascii="標楷體" w:eastAsia="標楷體" w:hAnsi="標楷體" w:hint="eastAsia"/>
              </w:rPr>
              <w:t>反面</w:t>
            </w:r>
            <w:r w:rsidRPr="00CF0BE2">
              <w:rPr>
                <w:rFonts w:ascii="標楷體" w:eastAsia="標楷體" w:hAnsi="標楷體" w:hint="eastAsia"/>
              </w:rPr>
              <w:t>)</w:t>
            </w:r>
            <w:r w:rsidRPr="00CF0BE2">
              <w:rPr>
                <w:rFonts w:ascii="標楷體" w:eastAsia="標楷體" w:hAnsi="標楷體"/>
              </w:rPr>
              <w:t xml:space="preserve"> </w:t>
            </w:r>
            <w:r w:rsidRPr="00CF0BE2">
              <w:rPr>
                <w:rFonts w:ascii="標楷體" w:eastAsia="標楷體" w:hAnsi="標楷體" w:hint="eastAsia"/>
              </w:rPr>
              <w:t>。</w:t>
            </w:r>
          </w:p>
          <w:p w:rsidR="00CF0BE2" w:rsidRPr="00CF0BE2" w:rsidRDefault="00CF0BE2" w:rsidP="009F5192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688號土地原共有人謝炎山</w:t>
            </w:r>
            <w:r w:rsidR="00305012">
              <w:rPr>
                <w:rFonts w:ascii="標楷體" w:eastAsia="標楷體" w:hAnsi="標楷體" w:hint="eastAsia"/>
              </w:rPr>
              <w:t>、</w:t>
            </w:r>
            <w:r w:rsidRPr="00CF0BE2">
              <w:rPr>
                <w:rFonts w:ascii="標楷體" w:eastAsia="標楷體" w:hAnsi="標楷體" w:hint="eastAsia"/>
              </w:rPr>
              <w:t>謝金生</w:t>
            </w:r>
            <w:r w:rsidR="00305012">
              <w:rPr>
                <w:rFonts w:ascii="標楷體" w:eastAsia="標楷體" w:hAnsi="標楷體" w:hint="eastAsia"/>
              </w:rPr>
              <w:t>、</w:t>
            </w:r>
            <w:r w:rsidRPr="00CF0BE2">
              <w:rPr>
                <w:rFonts w:ascii="標楷體" w:eastAsia="標楷體" w:hAnsi="標楷體" w:hint="eastAsia"/>
              </w:rPr>
              <w:t>王好欸於104年4、7、9月以交換、買賣將其應有部分全部移轉予被告施鍊岸，經原告104年12月18日聲請承當</w:t>
            </w:r>
            <w:r w:rsidR="006F5EE1">
              <w:rPr>
                <w:rFonts w:ascii="標楷體" w:eastAsia="標楷體" w:hAnsi="標楷體" w:hint="eastAsia"/>
              </w:rPr>
              <w:t>訴</w:t>
            </w:r>
            <w:r w:rsidRPr="00CF0BE2">
              <w:rPr>
                <w:rFonts w:ascii="標楷體" w:eastAsia="標楷體" w:hAnsi="標楷體" w:hint="eastAsia"/>
              </w:rPr>
              <w:t>訟(見本院卷三第11頁)。</w:t>
            </w:r>
            <w:r w:rsidRPr="00CF0BE2">
              <w:rPr>
                <w:rFonts w:ascii="標楷體" w:eastAsia="標楷體" w:hAnsi="標楷體"/>
              </w:rPr>
              <w:t xml:space="preserve"> 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lastRenderedPageBreak/>
              <w:t>27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謝炎山</w:t>
            </w:r>
          </w:p>
        </w:tc>
        <w:tc>
          <w:tcPr>
            <w:tcW w:w="4602" w:type="dxa"/>
          </w:tcPr>
          <w:p w:rsidR="00CF0BE2" w:rsidRPr="00CF0BE2" w:rsidRDefault="006F5EE1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謝炎山已將其土地移轉登記給原告及施鍊岸，且經</w:t>
            </w:r>
            <w:r w:rsidR="00CF0BE2" w:rsidRPr="00CF0BE2">
              <w:rPr>
                <w:rFonts w:ascii="標楷體" w:eastAsia="標楷體" w:hAnsi="標楷體" w:hint="eastAsia"/>
              </w:rPr>
              <w:t>聲請承當訴訟，已非本件訴訟當事人。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李忠義</w:t>
            </w:r>
          </w:p>
        </w:tc>
        <w:tc>
          <w:tcPr>
            <w:tcW w:w="4602" w:type="dxa"/>
          </w:tcPr>
          <w:p w:rsidR="00CF0BE2" w:rsidRDefault="00CF0BE2">
            <w:r w:rsidRPr="00B62AA3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635" w:type="dxa"/>
          </w:tcPr>
          <w:p w:rsidR="00CF0BE2" w:rsidRPr="00CF0BE2" w:rsidRDefault="00CF0BE2" w:rsidP="00375C76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大億營造有限公司</w:t>
            </w:r>
          </w:p>
        </w:tc>
        <w:tc>
          <w:tcPr>
            <w:tcW w:w="4602" w:type="dxa"/>
          </w:tcPr>
          <w:p w:rsidR="00CF0BE2" w:rsidRDefault="00CF0BE2">
            <w:r w:rsidRPr="00B62AA3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謝金生</w:t>
            </w:r>
          </w:p>
        </w:tc>
        <w:tc>
          <w:tcPr>
            <w:tcW w:w="4602" w:type="dxa"/>
          </w:tcPr>
          <w:p w:rsidR="00CF0BE2" w:rsidRPr="00CF0BE2" w:rsidRDefault="006F5EE1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謝金生已將其土地移轉登記給施鍊岸，且經聲請承當訴訟，</w:t>
            </w:r>
            <w:r w:rsidR="00CF0BE2" w:rsidRPr="00CF0BE2">
              <w:rPr>
                <w:rFonts w:ascii="標楷體" w:eastAsia="標楷體" w:hAnsi="標楷體" w:hint="eastAsia"/>
              </w:rPr>
              <w:t>已非本件訴訟當事人。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 xml:space="preserve">王好欸 </w:t>
            </w:r>
          </w:p>
        </w:tc>
        <w:tc>
          <w:tcPr>
            <w:tcW w:w="4602" w:type="dxa"/>
          </w:tcPr>
          <w:p w:rsidR="00CF0BE2" w:rsidRPr="00CF0BE2" w:rsidRDefault="006F5EE1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王好欸已將其土地移轉登記給施鍊岸，且經</w:t>
            </w:r>
            <w:r w:rsidR="00305012">
              <w:rPr>
                <w:rFonts w:ascii="標楷體" w:eastAsia="標楷體" w:hAnsi="標楷體" w:hint="eastAsia"/>
              </w:rPr>
              <w:t>聲請承當訴訟，</w:t>
            </w:r>
            <w:bookmarkStart w:id="0" w:name="_GoBack"/>
            <w:bookmarkEnd w:id="0"/>
            <w:r w:rsidR="00CF0BE2" w:rsidRPr="00CF0BE2">
              <w:rPr>
                <w:rFonts w:ascii="標楷體" w:eastAsia="標楷體" w:hAnsi="標楷體" w:hint="eastAsia"/>
              </w:rPr>
              <w:t>已非本件訴訟當事人。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潘富雄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潘景勝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潘景勝於訴訟中之106年3月13日死亡，其全體繼承人為潘仕傑、潘仕揚、潘仕媛，有卷附潘景勝除戶戶籍謄本、潘仕傑、潘仕揚、潘仕媛戶籍謄</w:t>
            </w:r>
            <w:r w:rsidR="006F5EE1">
              <w:rPr>
                <w:rFonts w:ascii="標楷體" w:eastAsia="標楷體" w:hAnsi="標楷體" w:hint="eastAsia"/>
              </w:rPr>
              <w:t>本、繼承系統表、士林地方法院家民事紀錄科查詢表可憑（見本院卷六第</w:t>
            </w:r>
            <w:r w:rsidRPr="00CF0BE2">
              <w:rPr>
                <w:rFonts w:ascii="標楷體" w:eastAsia="標楷體" w:hAnsi="標楷體" w:hint="eastAsia"/>
              </w:rPr>
              <w:t>290、297-305頁、卷七第11頁）， 並經原告107年4月2日具狀聲明潘仕傑、潘仕揚、潘仕媛承受訴訟（見本院卷七第58</w:t>
            </w:r>
            <w:r>
              <w:rPr>
                <w:rFonts w:ascii="標楷體" w:eastAsia="標楷體" w:hAnsi="標楷體" w:hint="eastAsia"/>
              </w:rPr>
              <w:t>頁），核與民事訴訟法第168、175條規定相符，應予准許。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潘釵</w:t>
            </w:r>
          </w:p>
        </w:tc>
        <w:tc>
          <w:tcPr>
            <w:tcW w:w="4602" w:type="dxa"/>
          </w:tcPr>
          <w:p w:rsidR="00CF0BE2" w:rsidRDefault="00CF0BE2">
            <w:r w:rsidRPr="00E74EC8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曹潘寶秀</w:t>
            </w:r>
          </w:p>
        </w:tc>
        <w:tc>
          <w:tcPr>
            <w:tcW w:w="4602" w:type="dxa"/>
          </w:tcPr>
          <w:p w:rsidR="00CF0BE2" w:rsidRDefault="00CF0BE2">
            <w:r w:rsidRPr="00E74EC8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潘美智</w:t>
            </w:r>
          </w:p>
        </w:tc>
        <w:tc>
          <w:tcPr>
            <w:tcW w:w="4602" w:type="dxa"/>
          </w:tcPr>
          <w:p w:rsidR="00CF0BE2" w:rsidRDefault="00CF0BE2">
            <w:r w:rsidRPr="00E74EC8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林潘惠順</w:t>
            </w:r>
          </w:p>
        </w:tc>
        <w:tc>
          <w:tcPr>
            <w:tcW w:w="4602" w:type="dxa"/>
          </w:tcPr>
          <w:p w:rsidR="00CF0BE2" w:rsidRDefault="00CF0BE2">
            <w:r w:rsidRPr="00E74EC8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謝塗生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被告謝塗生於起訴前88年4月16日死亡，其全體繼承人為林蜂、謝清富、謝淑美、謝淑媛、謝若薇、謝淑慎、謝淑滿、謝若云、謝淑祺，有卷附謝塗生除戶戶籍謄本、謝塗生戶籍謄本、繼承系統表可憑(見本院士調卷第111-121頁) ，並經原告104年5月21日具狀撤回被告謝塗生（本院卷一第129頁)。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林蜂</w:t>
            </w:r>
          </w:p>
        </w:tc>
        <w:tc>
          <w:tcPr>
            <w:tcW w:w="4602" w:type="dxa"/>
          </w:tcPr>
          <w:p w:rsidR="00CF0BE2" w:rsidRDefault="00CF0BE2">
            <w:r w:rsidRPr="001126C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謝清富</w:t>
            </w:r>
          </w:p>
        </w:tc>
        <w:tc>
          <w:tcPr>
            <w:tcW w:w="4602" w:type="dxa"/>
          </w:tcPr>
          <w:p w:rsidR="00CF0BE2" w:rsidRDefault="00CF0BE2">
            <w:r w:rsidRPr="001126C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謝淑美</w:t>
            </w:r>
          </w:p>
        </w:tc>
        <w:tc>
          <w:tcPr>
            <w:tcW w:w="4602" w:type="dxa"/>
          </w:tcPr>
          <w:p w:rsidR="00CF0BE2" w:rsidRDefault="00CF0BE2">
            <w:r w:rsidRPr="001126C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 xml:space="preserve">謝淑媛 </w:t>
            </w:r>
          </w:p>
        </w:tc>
        <w:tc>
          <w:tcPr>
            <w:tcW w:w="4602" w:type="dxa"/>
          </w:tcPr>
          <w:p w:rsidR="00CF0BE2" w:rsidRDefault="00CF0BE2">
            <w:r w:rsidRPr="001126C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謝若薇</w:t>
            </w:r>
          </w:p>
        </w:tc>
        <w:tc>
          <w:tcPr>
            <w:tcW w:w="4602" w:type="dxa"/>
          </w:tcPr>
          <w:p w:rsidR="00CF0BE2" w:rsidRDefault="00CF0BE2">
            <w:r w:rsidRPr="001126C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lastRenderedPageBreak/>
              <w:t>44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謝淑慎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謝淑慎於訴訟中之105年7月14日死亡，其全體繼承人為林蜂，有卷附謝淑慎、謝塗生除戶戶籍謄本、林蜂戶籍謄本、繼承系統表、本院民事紀錄科查詢表可憑（見本院卷五第271、294-304頁）， 並經原告106年2月15日具狀聲明林蜂承受訴訟（見本院卷六第20-21頁）</w:t>
            </w:r>
            <w:r w:rsidR="003B5B19">
              <w:rPr>
                <w:rFonts w:ascii="標楷體" w:eastAsia="標楷體" w:hAnsi="標楷體" w:hint="eastAsia"/>
              </w:rPr>
              <w:t>，核與民事訴訟法第168、175條規定相符</w:t>
            </w:r>
            <w:r w:rsidRPr="00CF0BE2">
              <w:rPr>
                <w:rFonts w:ascii="標楷體" w:eastAsia="標楷體" w:hAnsi="標楷體" w:hint="eastAsia"/>
              </w:rPr>
              <w:t>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謝淑滿</w:t>
            </w:r>
          </w:p>
        </w:tc>
        <w:tc>
          <w:tcPr>
            <w:tcW w:w="4602" w:type="dxa"/>
          </w:tcPr>
          <w:p w:rsidR="00CF0BE2" w:rsidRDefault="00CF0BE2">
            <w:r w:rsidRPr="0042066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謝若云</w:t>
            </w:r>
          </w:p>
        </w:tc>
        <w:tc>
          <w:tcPr>
            <w:tcW w:w="4602" w:type="dxa"/>
          </w:tcPr>
          <w:p w:rsidR="00CF0BE2" w:rsidRDefault="00CF0BE2">
            <w:r w:rsidRPr="0042066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謝淑祺</w:t>
            </w:r>
          </w:p>
        </w:tc>
        <w:tc>
          <w:tcPr>
            <w:tcW w:w="4602" w:type="dxa"/>
          </w:tcPr>
          <w:p w:rsidR="00CF0BE2" w:rsidRDefault="00CF0BE2">
            <w:r w:rsidRPr="00420664">
              <w:rPr>
                <w:rFonts w:ascii="標楷體" w:eastAsia="標楷體" w:hAnsi="標楷體" w:hint="eastAsia"/>
              </w:rPr>
              <w:t>×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文自強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民國101年10月17日死亡，因繼承人之有無不明，經</w:t>
            </w:r>
            <w:r w:rsidR="00A27E46">
              <w:rPr>
                <w:rFonts w:ascii="標楷體" w:eastAsia="標楷體" w:hAnsi="標楷體" w:hint="eastAsia"/>
              </w:rPr>
              <w:t>臺灣</w:t>
            </w:r>
            <w:r w:rsidRPr="00CF0BE2">
              <w:rPr>
                <w:rFonts w:ascii="標楷體" w:eastAsia="標楷體" w:hAnsi="標楷體" w:hint="eastAsia"/>
              </w:rPr>
              <w:t>臺北地方法院103年度司繼字第1799號選任段思妤律師為其遺產管理人(見本院卷一第129頁)</w:t>
            </w:r>
            <w:r w:rsidR="003B5B19">
              <w:rPr>
                <w:rFonts w:ascii="標楷體" w:eastAsia="標楷體" w:hAnsi="標楷體" w:hint="eastAsia"/>
              </w:rPr>
              <w:t>，乃更正被告文自強為段思妤律師即文自強</w:t>
            </w:r>
            <w:r w:rsidR="003B5B19" w:rsidRPr="00CF0BE2">
              <w:rPr>
                <w:rFonts w:ascii="標楷體" w:eastAsia="標楷體" w:hAnsi="標楷體" w:hint="eastAsia"/>
              </w:rPr>
              <w:t>遺產管理人</w:t>
            </w:r>
            <w:r w:rsidRPr="00CF0BE2">
              <w:rPr>
                <w:rFonts w:ascii="標楷體" w:eastAsia="標楷體" w:hAnsi="標楷體" w:hint="eastAsia"/>
              </w:rPr>
              <w:t>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1635" w:type="dxa"/>
          </w:tcPr>
          <w:p w:rsidR="00CF0BE2" w:rsidRPr="00CF0BE2" w:rsidRDefault="00CF0BE2" w:rsidP="00CF0BE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中華民國財政部國有財產署法定代理人</w:t>
            </w:r>
          </w:p>
        </w:tc>
        <w:tc>
          <w:tcPr>
            <w:tcW w:w="4602" w:type="dxa"/>
          </w:tcPr>
          <w:p w:rsidR="00CF0BE2" w:rsidRPr="00CF0BE2" w:rsidRDefault="00CF0BE2" w:rsidP="00CF0BE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法定代理人原為「莊翠雲」，嗣</w:t>
            </w:r>
            <w:r w:rsidR="003B5B19">
              <w:rPr>
                <w:rFonts w:ascii="標楷體" w:eastAsia="標楷體" w:hAnsi="標楷體" w:hint="eastAsia"/>
              </w:rPr>
              <w:t>於民國105年5月30日</w:t>
            </w:r>
            <w:r w:rsidRPr="00CF0BE2">
              <w:rPr>
                <w:rFonts w:ascii="標楷體" w:eastAsia="標楷體" w:hAnsi="標楷體" w:hint="eastAsia"/>
              </w:rPr>
              <w:t>變更為</w:t>
            </w:r>
            <w:r>
              <w:rPr>
                <w:rFonts w:ascii="標楷體" w:eastAsia="標楷體" w:hAnsi="標楷體" w:hint="eastAsia"/>
              </w:rPr>
              <w:t>「</w:t>
            </w:r>
            <w:r w:rsidRPr="00CF0BE2">
              <w:rPr>
                <w:rFonts w:ascii="標楷體" w:eastAsia="標楷體" w:hAnsi="標楷體" w:hint="eastAsia"/>
              </w:rPr>
              <w:t>曾國基」，</w:t>
            </w:r>
            <w:r>
              <w:rPr>
                <w:rFonts w:ascii="標楷體" w:eastAsia="標楷體" w:hAnsi="標楷體" w:hint="eastAsia"/>
              </w:rPr>
              <w:t>有卷附行政院令可憑，</w:t>
            </w:r>
            <w:r w:rsidRPr="00CF0BE2">
              <w:rPr>
                <w:rFonts w:ascii="標楷體" w:eastAsia="標楷體" w:hAnsi="標楷體" w:hint="eastAsia"/>
              </w:rPr>
              <w:t>並經</w:t>
            </w:r>
            <w:r>
              <w:rPr>
                <w:rFonts w:ascii="標楷體" w:eastAsia="標楷體" w:hAnsi="標楷體" w:hint="eastAsia"/>
              </w:rPr>
              <w:t>曾國基聲明承受訴訟</w:t>
            </w:r>
            <w:r w:rsidRPr="00CF0BE2">
              <w:rPr>
                <w:rFonts w:ascii="標楷體" w:eastAsia="標楷體" w:hAnsi="標楷體" w:hint="eastAsia"/>
              </w:rPr>
              <w:t>（見本院卷</w:t>
            </w:r>
            <w:r>
              <w:rPr>
                <w:rFonts w:ascii="標楷體" w:eastAsia="標楷體" w:hAnsi="標楷體" w:hint="eastAsia"/>
              </w:rPr>
              <w:t>六</w:t>
            </w:r>
            <w:r w:rsidRPr="00CF0BE2">
              <w:rPr>
                <w:rFonts w:ascii="標楷體" w:eastAsia="標楷體" w:hAnsi="標楷體" w:hint="eastAsia"/>
              </w:rPr>
              <w:t>第228</w:t>
            </w:r>
            <w:r>
              <w:rPr>
                <w:rFonts w:ascii="標楷體" w:eastAsia="標楷體" w:hAnsi="標楷體" w:hint="eastAsia"/>
              </w:rPr>
              <w:t>至</w:t>
            </w:r>
            <w:r w:rsidR="00A27E46">
              <w:rPr>
                <w:rFonts w:ascii="標楷體" w:eastAsia="標楷體" w:hAnsi="標楷體" w:hint="eastAsia"/>
              </w:rPr>
              <w:t>231</w:t>
            </w:r>
            <w:r w:rsidRPr="00CF0BE2">
              <w:rPr>
                <w:rFonts w:ascii="標楷體" w:eastAsia="標楷體" w:hAnsi="標楷體" w:hint="eastAsia"/>
              </w:rPr>
              <w:t>頁）</w:t>
            </w:r>
            <w:r w:rsidR="003B5B19">
              <w:rPr>
                <w:rFonts w:ascii="標楷體" w:eastAsia="標楷體" w:hAnsi="標楷體" w:hint="eastAsia"/>
              </w:rPr>
              <w:t>，核與民事訴訟法第170、175條規定相符</w:t>
            </w:r>
            <w:r w:rsidRPr="00CF0BE2">
              <w:rPr>
                <w:rFonts w:ascii="標楷體" w:eastAsia="標楷體" w:hAnsi="標楷體" w:hint="eastAsia"/>
              </w:rPr>
              <w:t>。</w:t>
            </w:r>
          </w:p>
        </w:tc>
      </w:tr>
      <w:tr w:rsidR="00CF0BE2" w:rsidRPr="00CF0BE2" w:rsidTr="00CF0BE2">
        <w:tc>
          <w:tcPr>
            <w:tcW w:w="817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1635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 w:rsidRPr="00CF0BE2">
              <w:rPr>
                <w:rFonts w:ascii="標楷體" w:eastAsia="標楷體" w:hAnsi="標楷體" w:hint="eastAsia"/>
              </w:rPr>
              <w:t>謝祐雄</w:t>
            </w:r>
          </w:p>
        </w:tc>
        <w:tc>
          <w:tcPr>
            <w:tcW w:w="4602" w:type="dxa"/>
          </w:tcPr>
          <w:p w:rsidR="00CF0BE2" w:rsidRPr="00CF0BE2" w:rsidRDefault="00CF0BE2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×</w:t>
            </w:r>
          </w:p>
        </w:tc>
      </w:tr>
    </w:tbl>
    <w:p w:rsidR="0053283F" w:rsidRPr="00CF0BE2" w:rsidRDefault="0053283F" w:rsidP="0053283F">
      <w:pPr>
        <w:rPr>
          <w:rFonts w:ascii="標楷體" w:eastAsia="標楷體" w:hAnsi="標楷體"/>
          <w:szCs w:val="24"/>
        </w:rPr>
      </w:pPr>
    </w:p>
    <w:p w:rsidR="00E44297" w:rsidRPr="00CF0BE2" w:rsidRDefault="008450F2">
      <w:pPr>
        <w:rPr>
          <w:rFonts w:ascii="標楷體" w:eastAsia="標楷體" w:hAnsi="標楷體"/>
        </w:rPr>
      </w:pPr>
    </w:p>
    <w:sectPr w:rsidR="00E44297" w:rsidRPr="00CF0BE2" w:rsidSect="00281631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0F2" w:rsidRDefault="008450F2" w:rsidP="00281631">
      <w:r>
        <w:separator/>
      </w:r>
    </w:p>
  </w:endnote>
  <w:endnote w:type="continuationSeparator" w:id="0">
    <w:p w:rsidR="008450F2" w:rsidRDefault="008450F2" w:rsidP="0028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0F2" w:rsidRDefault="008450F2" w:rsidP="00281631">
      <w:r>
        <w:separator/>
      </w:r>
    </w:p>
  </w:footnote>
  <w:footnote w:type="continuationSeparator" w:id="0">
    <w:p w:rsidR="008450F2" w:rsidRDefault="008450F2" w:rsidP="00281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152"/>
    <w:multiLevelType w:val="hybridMultilevel"/>
    <w:tmpl w:val="125ED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C0189"/>
    <w:multiLevelType w:val="hybridMultilevel"/>
    <w:tmpl w:val="09CC5B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1696A"/>
    <w:multiLevelType w:val="hybridMultilevel"/>
    <w:tmpl w:val="9B160A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05621"/>
    <w:multiLevelType w:val="hybridMultilevel"/>
    <w:tmpl w:val="1152D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A44F4"/>
    <w:multiLevelType w:val="hybridMultilevel"/>
    <w:tmpl w:val="F63049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AB6102"/>
    <w:multiLevelType w:val="hybridMultilevel"/>
    <w:tmpl w:val="C4FA38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AE2821"/>
    <w:multiLevelType w:val="hybridMultilevel"/>
    <w:tmpl w:val="5094B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0C48F1"/>
    <w:multiLevelType w:val="hybridMultilevel"/>
    <w:tmpl w:val="FEBE5A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F41185"/>
    <w:multiLevelType w:val="hybridMultilevel"/>
    <w:tmpl w:val="8EB66F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D91DBE"/>
    <w:multiLevelType w:val="hybridMultilevel"/>
    <w:tmpl w:val="8C9A7D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9A6E6B"/>
    <w:multiLevelType w:val="hybridMultilevel"/>
    <w:tmpl w:val="8598AE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433BA4"/>
    <w:multiLevelType w:val="hybridMultilevel"/>
    <w:tmpl w:val="A83A4A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C07574"/>
    <w:multiLevelType w:val="hybridMultilevel"/>
    <w:tmpl w:val="82CAE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F317A0"/>
    <w:multiLevelType w:val="hybridMultilevel"/>
    <w:tmpl w:val="2EC6C5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F41896"/>
    <w:multiLevelType w:val="hybridMultilevel"/>
    <w:tmpl w:val="E94EF1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577AFE"/>
    <w:multiLevelType w:val="hybridMultilevel"/>
    <w:tmpl w:val="79C27B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CF4EE5"/>
    <w:multiLevelType w:val="hybridMultilevel"/>
    <w:tmpl w:val="F5CC5C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D93FFF"/>
    <w:multiLevelType w:val="hybridMultilevel"/>
    <w:tmpl w:val="A45E1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0F320CE"/>
    <w:multiLevelType w:val="hybridMultilevel"/>
    <w:tmpl w:val="5FA23D0A"/>
    <w:lvl w:ilvl="0" w:tplc="CF8472EC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318455A1"/>
    <w:multiLevelType w:val="hybridMultilevel"/>
    <w:tmpl w:val="83CA4D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3BC6A39"/>
    <w:multiLevelType w:val="hybridMultilevel"/>
    <w:tmpl w:val="B2AAD1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705AE6"/>
    <w:multiLevelType w:val="hybridMultilevel"/>
    <w:tmpl w:val="01EE85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4D2991"/>
    <w:multiLevelType w:val="hybridMultilevel"/>
    <w:tmpl w:val="CFC40F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CA1ECC"/>
    <w:multiLevelType w:val="hybridMultilevel"/>
    <w:tmpl w:val="46EE7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F957E10"/>
    <w:multiLevelType w:val="hybridMultilevel"/>
    <w:tmpl w:val="237A41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CF17CD"/>
    <w:multiLevelType w:val="hybridMultilevel"/>
    <w:tmpl w:val="858E17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EF35A3"/>
    <w:multiLevelType w:val="hybridMultilevel"/>
    <w:tmpl w:val="DFAAFA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6992CA9"/>
    <w:multiLevelType w:val="hybridMultilevel"/>
    <w:tmpl w:val="0624F0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6C6606"/>
    <w:multiLevelType w:val="hybridMultilevel"/>
    <w:tmpl w:val="82E277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581837"/>
    <w:multiLevelType w:val="hybridMultilevel"/>
    <w:tmpl w:val="81169814"/>
    <w:lvl w:ilvl="0" w:tplc="7F2C410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DA4432A"/>
    <w:multiLevelType w:val="hybridMultilevel"/>
    <w:tmpl w:val="E31E93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2735413"/>
    <w:multiLevelType w:val="hybridMultilevel"/>
    <w:tmpl w:val="57CED1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3C36E9"/>
    <w:multiLevelType w:val="hybridMultilevel"/>
    <w:tmpl w:val="A8544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A41A71"/>
    <w:multiLevelType w:val="hybridMultilevel"/>
    <w:tmpl w:val="2D6000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B51EA8"/>
    <w:multiLevelType w:val="hybridMultilevel"/>
    <w:tmpl w:val="A62EC00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7C123D"/>
    <w:multiLevelType w:val="hybridMultilevel"/>
    <w:tmpl w:val="BAD8A8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DD1584"/>
    <w:multiLevelType w:val="hybridMultilevel"/>
    <w:tmpl w:val="2998FC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3213AAB"/>
    <w:multiLevelType w:val="hybridMultilevel"/>
    <w:tmpl w:val="E2F458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EA4894"/>
    <w:multiLevelType w:val="hybridMultilevel"/>
    <w:tmpl w:val="53F685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F56ED0"/>
    <w:multiLevelType w:val="hybridMultilevel"/>
    <w:tmpl w:val="DC7E66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5EA7D9C"/>
    <w:multiLevelType w:val="hybridMultilevel"/>
    <w:tmpl w:val="3B80F6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E71408"/>
    <w:multiLevelType w:val="hybridMultilevel"/>
    <w:tmpl w:val="64F0D7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1003C7"/>
    <w:multiLevelType w:val="hybridMultilevel"/>
    <w:tmpl w:val="45D09D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B4A1DCF"/>
    <w:multiLevelType w:val="hybridMultilevel"/>
    <w:tmpl w:val="77D6C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B570CA3"/>
    <w:multiLevelType w:val="hybridMultilevel"/>
    <w:tmpl w:val="18F4B5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FB1FE4"/>
    <w:multiLevelType w:val="hybridMultilevel"/>
    <w:tmpl w:val="6CA43D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18"/>
  </w:num>
  <w:num w:numId="3">
    <w:abstractNumId w:val="34"/>
  </w:num>
  <w:num w:numId="4">
    <w:abstractNumId w:val="30"/>
  </w:num>
  <w:num w:numId="5">
    <w:abstractNumId w:val="25"/>
  </w:num>
  <w:num w:numId="6">
    <w:abstractNumId w:val="35"/>
  </w:num>
  <w:num w:numId="7">
    <w:abstractNumId w:val="38"/>
  </w:num>
  <w:num w:numId="8">
    <w:abstractNumId w:val="33"/>
  </w:num>
  <w:num w:numId="9">
    <w:abstractNumId w:val="16"/>
  </w:num>
  <w:num w:numId="10">
    <w:abstractNumId w:val="8"/>
  </w:num>
  <w:num w:numId="11">
    <w:abstractNumId w:val="3"/>
  </w:num>
  <w:num w:numId="12">
    <w:abstractNumId w:val="14"/>
  </w:num>
  <w:num w:numId="13">
    <w:abstractNumId w:val="4"/>
  </w:num>
  <w:num w:numId="14">
    <w:abstractNumId w:val="19"/>
  </w:num>
  <w:num w:numId="15">
    <w:abstractNumId w:val="21"/>
  </w:num>
  <w:num w:numId="16">
    <w:abstractNumId w:val="27"/>
  </w:num>
  <w:num w:numId="17">
    <w:abstractNumId w:val="1"/>
  </w:num>
  <w:num w:numId="18">
    <w:abstractNumId w:val="28"/>
  </w:num>
  <w:num w:numId="19">
    <w:abstractNumId w:val="7"/>
  </w:num>
  <w:num w:numId="20">
    <w:abstractNumId w:val="15"/>
  </w:num>
  <w:num w:numId="21">
    <w:abstractNumId w:val="5"/>
  </w:num>
  <w:num w:numId="22">
    <w:abstractNumId w:val="20"/>
  </w:num>
  <w:num w:numId="23">
    <w:abstractNumId w:val="36"/>
  </w:num>
  <w:num w:numId="24">
    <w:abstractNumId w:val="6"/>
  </w:num>
  <w:num w:numId="25">
    <w:abstractNumId w:val="22"/>
  </w:num>
  <w:num w:numId="26">
    <w:abstractNumId w:val="39"/>
  </w:num>
  <w:num w:numId="27">
    <w:abstractNumId w:val="32"/>
  </w:num>
  <w:num w:numId="28">
    <w:abstractNumId w:val="2"/>
  </w:num>
  <w:num w:numId="29">
    <w:abstractNumId w:val="41"/>
  </w:num>
  <w:num w:numId="30">
    <w:abstractNumId w:val="17"/>
  </w:num>
  <w:num w:numId="31">
    <w:abstractNumId w:val="0"/>
  </w:num>
  <w:num w:numId="32">
    <w:abstractNumId w:val="44"/>
  </w:num>
  <w:num w:numId="33">
    <w:abstractNumId w:val="11"/>
  </w:num>
  <w:num w:numId="34">
    <w:abstractNumId w:val="10"/>
  </w:num>
  <w:num w:numId="35">
    <w:abstractNumId w:val="42"/>
  </w:num>
  <w:num w:numId="36">
    <w:abstractNumId w:val="12"/>
  </w:num>
  <w:num w:numId="37">
    <w:abstractNumId w:val="24"/>
  </w:num>
  <w:num w:numId="38">
    <w:abstractNumId w:val="45"/>
  </w:num>
  <w:num w:numId="39">
    <w:abstractNumId w:val="13"/>
  </w:num>
  <w:num w:numId="40">
    <w:abstractNumId w:val="23"/>
  </w:num>
  <w:num w:numId="41">
    <w:abstractNumId w:val="37"/>
  </w:num>
  <w:num w:numId="42">
    <w:abstractNumId w:val="26"/>
  </w:num>
  <w:num w:numId="43">
    <w:abstractNumId w:val="43"/>
  </w:num>
  <w:num w:numId="44">
    <w:abstractNumId w:val="40"/>
  </w:num>
  <w:num w:numId="45">
    <w:abstractNumId w:val="31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3F"/>
    <w:rsid w:val="0013388B"/>
    <w:rsid w:val="00281631"/>
    <w:rsid w:val="00305012"/>
    <w:rsid w:val="00310D77"/>
    <w:rsid w:val="00375C76"/>
    <w:rsid w:val="003B5B19"/>
    <w:rsid w:val="0053283F"/>
    <w:rsid w:val="005947F0"/>
    <w:rsid w:val="006F5EE1"/>
    <w:rsid w:val="007603B7"/>
    <w:rsid w:val="00786D82"/>
    <w:rsid w:val="008450F2"/>
    <w:rsid w:val="00A27E46"/>
    <w:rsid w:val="00CE12B5"/>
    <w:rsid w:val="00CF0BE2"/>
    <w:rsid w:val="00DC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68D371"/>
  <w15:docId w15:val="{BE3B4FDF-FAB9-407F-A3FA-EC461B1E6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8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283F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CF0B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F0BE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816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8163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816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816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許碧惠</dc:creator>
  <cp:lastModifiedBy>吳旻玲</cp:lastModifiedBy>
  <cp:revision>6</cp:revision>
  <cp:lastPrinted>2019-01-01T12:42:00Z</cp:lastPrinted>
  <dcterms:created xsi:type="dcterms:W3CDTF">2018-12-31T07:50:00Z</dcterms:created>
  <dcterms:modified xsi:type="dcterms:W3CDTF">2019-01-07T07:00:00Z</dcterms:modified>
</cp:coreProperties>
</file>