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EF" w:rsidRPr="001D551B" w:rsidRDefault="008A2CC1" w:rsidP="001D551B">
      <w:pPr>
        <w:spacing w:line="500" w:lineRule="exact"/>
        <w:jc w:val="both"/>
        <w:rPr>
          <w:rFonts w:ascii="標楷體" w:eastAsia="標楷體" w:hAnsi="標楷體"/>
          <w:b/>
          <w:bCs/>
          <w:sz w:val="31"/>
          <w:szCs w:val="31"/>
        </w:rPr>
      </w:pPr>
      <w:r w:rsidRPr="001D551B">
        <w:rPr>
          <w:rFonts w:ascii="標楷體" w:eastAsia="標楷體" w:hAnsi="標楷體" w:hint="eastAsia"/>
          <w:b/>
          <w:bCs/>
          <w:sz w:val="31"/>
          <w:szCs w:val="31"/>
        </w:rPr>
        <w:t>最高法院民事大法庭</w:t>
      </w:r>
      <w:proofErr w:type="gramStart"/>
      <w:r w:rsidR="007B6390" w:rsidRPr="001D551B">
        <w:rPr>
          <w:rFonts w:ascii="標楷體" w:eastAsia="標楷體" w:hAnsi="標楷體" w:hint="eastAsia"/>
          <w:b/>
          <w:bCs/>
          <w:sz w:val="31"/>
          <w:szCs w:val="31"/>
        </w:rPr>
        <w:t>108</w:t>
      </w:r>
      <w:proofErr w:type="gramEnd"/>
      <w:r w:rsidR="007B6390" w:rsidRPr="001D551B">
        <w:rPr>
          <w:rFonts w:ascii="標楷體" w:eastAsia="標楷體" w:hAnsi="標楷體" w:hint="eastAsia"/>
          <w:b/>
          <w:bCs/>
          <w:sz w:val="31"/>
          <w:szCs w:val="31"/>
        </w:rPr>
        <w:t>年度台聲大字第1525號不同意見書</w:t>
      </w:r>
      <w:r w:rsidR="00227451" w:rsidRPr="001D551B">
        <w:rPr>
          <w:rFonts w:ascii="標楷體" w:eastAsia="標楷體" w:hAnsi="標楷體" w:hint="eastAsia"/>
          <w:b/>
          <w:bCs/>
          <w:sz w:val="31"/>
          <w:szCs w:val="31"/>
        </w:rPr>
        <w:t xml:space="preserve"> </w:t>
      </w:r>
    </w:p>
    <w:p w:rsidR="00572BEF" w:rsidRPr="00A3442B" w:rsidRDefault="00572BEF" w:rsidP="00A5073D">
      <w:pPr>
        <w:spacing w:line="360" w:lineRule="auto"/>
        <w:ind w:firstLineChars="200" w:firstLine="601"/>
        <w:jc w:val="both"/>
        <w:rPr>
          <w:rFonts w:ascii="標楷體" w:eastAsia="標楷體" w:hAnsi="標楷體"/>
          <w:bCs/>
          <w:color w:val="000000"/>
          <w:sz w:val="31"/>
          <w:szCs w:val="31"/>
        </w:rPr>
      </w:pPr>
      <w:r w:rsidRPr="001D551B">
        <w:rPr>
          <w:rFonts w:ascii="標楷體" w:eastAsia="標楷體" w:hAnsi="標楷體"/>
          <w:b/>
          <w:bCs/>
          <w:sz w:val="30"/>
          <w:szCs w:val="30"/>
        </w:rPr>
        <w:t xml:space="preserve">                            </w:t>
      </w:r>
      <w:r w:rsidRPr="00A3442B">
        <w:rPr>
          <w:rFonts w:ascii="標楷體" w:eastAsia="標楷體" w:hAnsi="標楷體" w:hint="eastAsia"/>
          <w:bCs/>
          <w:color w:val="000000"/>
          <w:sz w:val="31"/>
          <w:szCs w:val="31"/>
        </w:rPr>
        <w:t>審判長法官</w:t>
      </w:r>
      <w:r w:rsidR="006D50E9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</w:t>
      </w:r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陳  國  </w:t>
      </w:r>
      <w:proofErr w:type="gramStart"/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>禎</w:t>
      </w:r>
      <w:proofErr w:type="gramEnd"/>
    </w:p>
    <w:p w:rsidR="00572BEF" w:rsidRPr="00A3442B" w:rsidRDefault="00572BEF" w:rsidP="00A5073D">
      <w:pPr>
        <w:spacing w:line="360" w:lineRule="auto"/>
        <w:ind w:firstLineChars="200" w:firstLine="620"/>
        <w:jc w:val="both"/>
        <w:rPr>
          <w:rFonts w:ascii="標楷體" w:eastAsia="標楷體" w:hAnsi="標楷體"/>
          <w:bCs/>
          <w:color w:val="000000"/>
          <w:sz w:val="31"/>
          <w:szCs w:val="31"/>
        </w:rPr>
      </w:pPr>
      <w:r w:rsidRPr="00A3442B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                               法官</w:t>
      </w:r>
      <w:r w:rsidR="006D50E9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</w:t>
      </w:r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>陳  重  瑜</w:t>
      </w:r>
    </w:p>
    <w:p w:rsidR="00572BEF" w:rsidRPr="00A3442B" w:rsidRDefault="00572BEF" w:rsidP="00A5073D">
      <w:pPr>
        <w:spacing w:line="360" w:lineRule="auto"/>
        <w:ind w:firstLineChars="200" w:firstLine="620"/>
        <w:jc w:val="both"/>
        <w:rPr>
          <w:rFonts w:ascii="標楷體" w:eastAsia="標楷體" w:hAnsi="標楷體"/>
          <w:bCs/>
          <w:color w:val="000000"/>
          <w:sz w:val="31"/>
          <w:szCs w:val="31"/>
        </w:rPr>
      </w:pPr>
      <w:r w:rsidRPr="00A3442B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                               法官</w:t>
      </w:r>
      <w:r w:rsidR="006D50E9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</w:t>
      </w:r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高  孟  </w:t>
      </w:r>
      <w:proofErr w:type="gramStart"/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>焄</w:t>
      </w:r>
      <w:proofErr w:type="gramEnd"/>
    </w:p>
    <w:p w:rsidR="00572BEF" w:rsidRPr="00A3442B" w:rsidRDefault="00572BEF" w:rsidP="00A5073D">
      <w:pPr>
        <w:spacing w:line="360" w:lineRule="auto"/>
        <w:ind w:firstLineChars="200" w:firstLine="620"/>
        <w:jc w:val="both"/>
        <w:rPr>
          <w:rFonts w:ascii="標楷體" w:eastAsia="標楷體" w:hAnsi="標楷體"/>
          <w:bCs/>
          <w:color w:val="000000"/>
          <w:sz w:val="31"/>
          <w:szCs w:val="31"/>
        </w:rPr>
      </w:pPr>
      <w:r w:rsidRPr="00A3442B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                               法官</w:t>
      </w:r>
      <w:r w:rsidR="006D50E9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</w:t>
      </w:r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>陳  玉  完</w:t>
      </w:r>
    </w:p>
    <w:p w:rsidR="00710D78" w:rsidRPr="001D551B" w:rsidRDefault="00572BEF" w:rsidP="00A5073D">
      <w:pPr>
        <w:spacing w:line="360" w:lineRule="auto"/>
        <w:ind w:firstLineChars="200" w:firstLine="620"/>
        <w:jc w:val="both"/>
        <w:rPr>
          <w:rFonts w:ascii="標楷體" w:eastAsia="標楷體" w:hAnsi="標楷體"/>
          <w:b/>
          <w:bCs/>
          <w:sz w:val="30"/>
          <w:szCs w:val="30"/>
        </w:rPr>
      </w:pPr>
      <w:r w:rsidRPr="00A3442B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                               法官</w:t>
      </w:r>
      <w:r w:rsidR="006D50E9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</w:t>
      </w:r>
      <w:bookmarkStart w:id="0" w:name="_GoBack"/>
      <w:bookmarkEnd w:id="0"/>
      <w:r w:rsidR="00C24927" w:rsidRPr="00C24927">
        <w:rPr>
          <w:rFonts w:ascii="標楷體" w:eastAsia="標楷體" w:hAnsi="標楷體" w:hint="eastAsia"/>
          <w:bCs/>
          <w:color w:val="000000"/>
          <w:sz w:val="31"/>
          <w:szCs w:val="31"/>
        </w:rPr>
        <w:t>鄭  純  惠</w:t>
      </w:r>
      <w:r w:rsidR="00227451" w:rsidRPr="001D551B">
        <w:rPr>
          <w:rFonts w:ascii="標楷體" w:eastAsia="標楷體" w:hAnsi="標楷體" w:hint="eastAsia"/>
          <w:b/>
          <w:bCs/>
          <w:sz w:val="30"/>
          <w:szCs w:val="30"/>
        </w:rPr>
        <w:t xml:space="preserve">              </w:t>
      </w:r>
      <w:r w:rsidR="00227451" w:rsidRPr="001D551B">
        <w:rPr>
          <w:rFonts w:ascii="標楷體" w:eastAsia="標楷體" w:hAnsi="標楷體"/>
          <w:b/>
          <w:bCs/>
          <w:sz w:val="30"/>
          <w:szCs w:val="30"/>
        </w:rPr>
        <w:t xml:space="preserve">  </w:t>
      </w:r>
      <w:r w:rsidR="00227451" w:rsidRPr="001D551B">
        <w:rPr>
          <w:rFonts w:ascii="標楷體" w:eastAsia="標楷體" w:hAnsi="標楷體" w:hint="eastAsia"/>
          <w:b/>
          <w:bCs/>
          <w:sz w:val="30"/>
          <w:szCs w:val="30"/>
        </w:rPr>
        <w:t xml:space="preserve"> </w:t>
      </w:r>
      <w:r w:rsidR="00CF424D" w:rsidRPr="001D551B">
        <w:rPr>
          <w:rFonts w:ascii="標楷體" w:eastAsia="標楷體" w:hAnsi="標楷體"/>
          <w:b/>
          <w:bCs/>
          <w:sz w:val="30"/>
          <w:szCs w:val="30"/>
        </w:rPr>
        <w:t xml:space="preserve">        </w:t>
      </w:r>
    </w:p>
    <w:p w:rsidR="002015A5" w:rsidRPr="001D551B" w:rsidRDefault="002015A5" w:rsidP="002015A5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關於本院民事大法庭</w:t>
      </w:r>
      <w:proofErr w:type="gramStart"/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10</w:t>
      </w:r>
      <w:r w:rsidRPr="001D551B">
        <w:rPr>
          <w:rFonts w:ascii="標楷體" w:eastAsia="標楷體" w:hAnsi="標楷體"/>
          <w:bCs/>
          <w:color w:val="000000"/>
          <w:sz w:val="30"/>
          <w:szCs w:val="30"/>
        </w:rPr>
        <w:t>8</w:t>
      </w:r>
      <w:proofErr w:type="gramEnd"/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年度台聲大字第1525號裁定主文「被上訴人於上訴人具狀撤回第三審上訴前，已委任律師為訴訟代理人並代為提出答辯狀者，</w:t>
      </w:r>
      <w:r w:rsidR="006A5CA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縱</w:t>
      </w:r>
      <w:r w:rsidR="00C22F7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其</w:t>
      </w:r>
      <w:r w:rsidR="006A5CA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未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依民事訴訟法第90條第2項規定，於訴訟終結</w:t>
      </w:r>
      <w:r w:rsidR="000C0F61">
        <w:rPr>
          <w:rFonts w:ascii="標楷體" w:eastAsia="標楷體" w:hAnsi="標楷體" w:hint="eastAsia"/>
          <w:bCs/>
          <w:color w:val="000000"/>
          <w:sz w:val="30"/>
          <w:szCs w:val="30"/>
        </w:rPr>
        <w:t>後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20日之不變期間內聲請法院為訴訟費用之裁判，</w:t>
      </w:r>
      <w:r w:rsidR="006A5CA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亦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得聲請本院核定其第三審律師之酬金」，</w:t>
      </w:r>
      <w:r w:rsidR="00562C6F">
        <w:rPr>
          <w:rFonts w:ascii="標楷體" w:eastAsia="標楷體" w:hAnsi="標楷體" w:hint="eastAsia"/>
          <w:bCs/>
          <w:color w:val="000000"/>
          <w:sz w:val="30"/>
          <w:szCs w:val="30"/>
        </w:rPr>
        <w:t>提出不同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意</w:t>
      </w:r>
      <w:r w:rsidR="00562C6F">
        <w:rPr>
          <w:rFonts w:ascii="標楷體" w:eastAsia="標楷體" w:hAnsi="標楷體" w:hint="eastAsia"/>
          <w:bCs/>
          <w:color w:val="000000"/>
          <w:sz w:val="30"/>
          <w:szCs w:val="30"/>
        </w:rPr>
        <w:t>見。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理由如下：</w:t>
      </w:r>
      <w:r w:rsidRPr="001D551B">
        <w:rPr>
          <w:rFonts w:ascii="標楷體" w:eastAsia="標楷體" w:hAnsi="標楷體"/>
          <w:bCs/>
          <w:color w:val="000000"/>
          <w:sz w:val="30"/>
          <w:szCs w:val="30"/>
        </w:rPr>
        <w:t xml:space="preserve"> </w:t>
      </w:r>
    </w:p>
    <w:p w:rsidR="002015A5" w:rsidRPr="00D85BF1" w:rsidRDefault="002015A5" w:rsidP="002015A5">
      <w:pPr>
        <w:spacing w:line="620" w:lineRule="exact"/>
        <w:jc w:val="both"/>
        <w:rPr>
          <w:rFonts w:ascii="標楷體" w:eastAsia="標楷體" w:hAnsi="標楷體"/>
          <w:b/>
          <w:color w:val="000000"/>
          <w:sz w:val="30"/>
          <w:szCs w:val="30"/>
        </w:rPr>
      </w:pP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一、民事</w:t>
      </w:r>
      <w:r w:rsidRPr="00D85BF1">
        <w:rPr>
          <w:rFonts w:ascii="標楷體" w:eastAsia="標楷體" w:hAnsi="標楷體" w:hint="eastAsia"/>
          <w:b/>
          <w:color w:val="000000"/>
          <w:sz w:val="30"/>
          <w:szCs w:val="30"/>
        </w:rPr>
        <w:t>訴訟費用額之確定，須以訴訟費用之裁判為依據</w:t>
      </w:r>
    </w:p>
    <w:p w:rsidR="00903F6D" w:rsidRPr="001D551B" w:rsidRDefault="002015A5" w:rsidP="008778C9">
      <w:pPr>
        <w:spacing w:line="620" w:lineRule="exact"/>
        <w:ind w:firstLineChars="200" w:firstLine="600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按</w:t>
      </w:r>
      <w:r w:rsidR="004364BB" w:rsidRPr="001D551B">
        <w:rPr>
          <w:rFonts w:ascii="標楷體" w:eastAsia="標楷體" w:hAnsi="標楷體"/>
          <w:bCs/>
          <w:color w:val="000000"/>
          <w:sz w:val="30"/>
          <w:szCs w:val="30"/>
        </w:rPr>
        <w:t>法院為終局判決時，應依職權為訴訟費用之裁判</w:t>
      </w:r>
      <w:r w:rsidR="003877A1" w:rsidRPr="001D551B">
        <w:rPr>
          <w:rFonts w:ascii="標楷體" w:eastAsia="標楷體" w:hAnsi="標楷體"/>
          <w:bCs/>
          <w:color w:val="000000"/>
          <w:sz w:val="30"/>
          <w:szCs w:val="30"/>
        </w:rPr>
        <w:t>；</w:t>
      </w:r>
      <w:r w:rsidR="00267EF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訴訟不經裁判而終結者，法院</w:t>
      </w:r>
      <w:proofErr w:type="gramStart"/>
      <w:r w:rsidR="00267EF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應依聲請</w:t>
      </w:r>
      <w:proofErr w:type="gramEnd"/>
      <w:r w:rsidR="00267EF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以裁定為訴訟費用之裁判。</w:t>
      </w:r>
      <w:r w:rsidR="004364BB" w:rsidRPr="001D551B">
        <w:rPr>
          <w:rFonts w:ascii="標楷體" w:eastAsia="標楷體" w:hAnsi="標楷體"/>
          <w:bCs/>
          <w:color w:val="000000"/>
          <w:sz w:val="30"/>
          <w:szCs w:val="30"/>
        </w:rPr>
        <w:t>法院未於訴訟費用之裁判確定其費用額者，由第一審受訴法院於該裁判有執行</w:t>
      </w:r>
      <w:proofErr w:type="gramStart"/>
      <w:r w:rsidR="004364BB" w:rsidRPr="001D551B">
        <w:rPr>
          <w:rFonts w:ascii="標楷體" w:eastAsia="標楷體" w:hAnsi="標楷體"/>
          <w:bCs/>
          <w:color w:val="000000"/>
          <w:sz w:val="30"/>
          <w:szCs w:val="30"/>
        </w:rPr>
        <w:t>力後，依聲</w:t>
      </w:r>
      <w:proofErr w:type="gramEnd"/>
      <w:r w:rsidR="004364BB" w:rsidRPr="001D551B">
        <w:rPr>
          <w:rFonts w:ascii="標楷體" w:eastAsia="標楷體" w:hAnsi="標楷體"/>
          <w:bCs/>
          <w:color w:val="000000"/>
          <w:sz w:val="30"/>
          <w:szCs w:val="30"/>
        </w:rPr>
        <w:t>請以裁定確定之</w:t>
      </w:r>
      <w:r w:rsidR="003877A1" w:rsidRPr="001D551B">
        <w:rPr>
          <w:rFonts w:ascii="標楷體" w:eastAsia="標楷體" w:hAnsi="標楷體"/>
          <w:bCs/>
          <w:color w:val="000000"/>
          <w:sz w:val="30"/>
          <w:szCs w:val="30"/>
        </w:rPr>
        <w:t>，</w:t>
      </w:r>
      <w:r w:rsidR="00CD4B99" w:rsidRPr="001D551B">
        <w:rPr>
          <w:rFonts w:ascii="標楷體" w:eastAsia="標楷體" w:hAnsi="標楷體"/>
          <w:color w:val="000000"/>
          <w:sz w:val="30"/>
          <w:szCs w:val="30"/>
        </w:rPr>
        <w:t>民事訴訟法（下稱民訴）</w:t>
      </w:r>
      <w:r w:rsidR="003877A1" w:rsidRPr="001D551B">
        <w:rPr>
          <w:rFonts w:ascii="標楷體" w:eastAsia="標楷體" w:hAnsi="標楷體"/>
          <w:bCs/>
          <w:color w:val="000000"/>
          <w:sz w:val="30"/>
          <w:szCs w:val="30"/>
        </w:rPr>
        <w:t>第87條第</w:t>
      </w:r>
      <w:r w:rsidR="00F60BD3" w:rsidRPr="001D551B">
        <w:rPr>
          <w:rFonts w:ascii="標楷體" w:eastAsia="標楷體" w:hAnsi="標楷體"/>
          <w:bCs/>
          <w:color w:val="000000"/>
          <w:sz w:val="30"/>
          <w:szCs w:val="30"/>
        </w:rPr>
        <w:t>1</w:t>
      </w:r>
      <w:r w:rsidR="003877A1" w:rsidRPr="001D551B">
        <w:rPr>
          <w:rFonts w:ascii="標楷體" w:eastAsia="標楷體" w:hAnsi="標楷體"/>
          <w:bCs/>
          <w:color w:val="000000"/>
          <w:sz w:val="30"/>
          <w:szCs w:val="30"/>
        </w:rPr>
        <w:t>項、</w:t>
      </w:r>
      <w:r w:rsidR="00267EF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第90條、</w:t>
      </w:r>
      <w:r w:rsidR="003877A1" w:rsidRPr="001D551B">
        <w:rPr>
          <w:rFonts w:ascii="標楷體" w:eastAsia="標楷體" w:hAnsi="標楷體"/>
          <w:bCs/>
          <w:color w:val="000000"/>
          <w:sz w:val="30"/>
          <w:szCs w:val="30"/>
        </w:rPr>
        <w:t>第91條第1</w:t>
      </w:r>
      <w:r w:rsidR="00065D2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項</w:t>
      </w:r>
      <w:r w:rsidR="00CD4B9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分別定有</w:t>
      </w:r>
      <w:r w:rsidR="00065D2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明文</w:t>
      </w:r>
      <w:r w:rsidR="003877A1" w:rsidRPr="001D551B">
        <w:rPr>
          <w:rFonts w:ascii="標楷體" w:eastAsia="標楷體" w:hAnsi="標楷體"/>
          <w:bCs/>
          <w:color w:val="000000"/>
          <w:sz w:val="30"/>
          <w:szCs w:val="30"/>
        </w:rPr>
        <w:t>。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是</w:t>
      </w:r>
      <w:r w:rsidR="003877A1" w:rsidRPr="001D551B">
        <w:rPr>
          <w:rFonts w:ascii="標楷體" w:eastAsia="標楷體" w:hAnsi="標楷體"/>
          <w:color w:val="000000"/>
          <w:sz w:val="30"/>
          <w:szCs w:val="30"/>
        </w:rPr>
        <w:t>訴訟費用之裁判</w:t>
      </w:r>
      <w:r w:rsidR="00F83F53" w:rsidRPr="001D551B">
        <w:rPr>
          <w:rFonts w:ascii="標楷體" w:eastAsia="標楷體" w:hAnsi="標楷體"/>
          <w:color w:val="000000"/>
          <w:sz w:val="30"/>
          <w:szCs w:val="30"/>
        </w:rPr>
        <w:t>，</w:t>
      </w:r>
      <w:r w:rsidR="001D5747" w:rsidRPr="001D551B">
        <w:rPr>
          <w:rFonts w:ascii="標楷體" w:eastAsia="標楷體" w:hAnsi="標楷體" w:hint="eastAsia"/>
          <w:color w:val="000000"/>
          <w:sz w:val="30"/>
          <w:szCs w:val="30"/>
        </w:rPr>
        <w:t>乃法院依民訴第78條至第86條所定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</w:t>
      </w:r>
      <w:r w:rsidR="001D5747" w:rsidRPr="001D551B">
        <w:rPr>
          <w:rFonts w:ascii="標楷體" w:eastAsia="標楷體" w:hAnsi="標楷體" w:hint="eastAsia"/>
          <w:color w:val="000000"/>
          <w:sz w:val="30"/>
          <w:szCs w:val="30"/>
        </w:rPr>
        <w:t>負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擔之標準，所為</w:t>
      </w:r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命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何人</w:t>
      </w:r>
      <w:r w:rsidR="00B6312A" w:rsidRPr="001D551B">
        <w:rPr>
          <w:rFonts w:ascii="標楷體" w:eastAsia="標楷體" w:hAnsi="標楷體" w:hint="eastAsia"/>
          <w:color w:val="000000"/>
          <w:sz w:val="30"/>
          <w:szCs w:val="30"/>
        </w:rPr>
        <w:t>如何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負擔訴訟費用之裁判；確定</w:t>
      </w:r>
      <w:r w:rsidR="003877A1" w:rsidRPr="001D551B">
        <w:rPr>
          <w:rFonts w:ascii="標楷體" w:eastAsia="標楷體" w:hAnsi="標楷體"/>
          <w:color w:val="000000"/>
          <w:sz w:val="30"/>
          <w:szCs w:val="30"/>
        </w:rPr>
        <w:t>訴訟費用額之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裁判，乃法院</w:t>
      </w:r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計算、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確定應負擔訴訟費用之</w:t>
      </w:r>
      <w:proofErr w:type="gramStart"/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一</w:t>
      </w:r>
      <w:proofErr w:type="gramEnd"/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造應賠償</w:t>
      </w:r>
      <w:proofErr w:type="gramStart"/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他造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lastRenderedPageBreak/>
        <w:t>所支出</w:t>
      </w:r>
      <w:proofErr w:type="gramEnd"/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訴訟費用之數額</w:t>
      </w:r>
      <w:r w:rsidR="00562C6F">
        <w:rPr>
          <w:rFonts w:ascii="標楷體" w:eastAsia="標楷體" w:hAnsi="標楷體" w:hint="eastAsia"/>
          <w:color w:val="000000"/>
          <w:sz w:val="30"/>
          <w:szCs w:val="30"/>
        </w:rPr>
        <w:t>。</w:t>
      </w:r>
      <w:r w:rsidR="00895C9B" w:rsidRPr="001D551B">
        <w:rPr>
          <w:rFonts w:ascii="標楷體" w:eastAsia="標楷體" w:hAnsi="標楷體" w:hint="eastAsia"/>
          <w:color w:val="000000"/>
          <w:sz w:val="30"/>
          <w:szCs w:val="30"/>
        </w:rPr>
        <w:t>關於</w:t>
      </w:r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訴訟費用如何負擔，或其負擔之比例如何，</w:t>
      </w:r>
      <w:proofErr w:type="gramStart"/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均應依命</w:t>
      </w:r>
      <w:proofErr w:type="gramEnd"/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負擔訴訟費用之裁判定之，不得於為</w:t>
      </w:r>
      <w:r w:rsidR="004E792C" w:rsidRPr="001D551B">
        <w:rPr>
          <w:rFonts w:ascii="標楷體" w:eastAsia="標楷體" w:hAnsi="標楷體" w:hint="eastAsia"/>
          <w:color w:val="000000"/>
          <w:sz w:val="30"/>
          <w:szCs w:val="30"/>
        </w:rPr>
        <w:t>確定費用額</w:t>
      </w:r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裁定時</w:t>
      </w:r>
      <w:r w:rsidR="006A5CA0" w:rsidRPr="001D551B">
        <w:rPr>
          <w:rFonts w:ascii="標楷體" w:eastAsia="標楷體" w:hAnsi="標楷體" w:hint="eastAsia"/>
          <w:color w:val="000000"/>
          <w:sz w:val="30"/>
          <w:szCs w:val="30"/>
        </w:rPr>
        <w:t>自行認定或</w:t>
      </w:r>
      <w:proofErr w:type="gramStart"/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再次審究</w:t>
      </w:r>
      <w:proofErr w:type="gramEnd"/>
      <w:r w:rsidR="00065D27" w:rsidRPr="001D551B">
        <w:rPr>
          <w:rFonts w:ascii="標楷體" w:eastAsia="標楷體" w:hAnsi="標楷體" w:hint="eastAsia"/>
          <w:color w:val="000000"/>
          <w:sz w:val="30"/>
          <w:szCs w:val="30"/>
        </w:rPr>
        <w:t>。</w:t>
      </w:r>
      <w:r w:rsidR="004F177D" w:rsidRPr="001D551B">
        <w:rPr>
          <w:rFonts w:ascii="標楷體" w:eastAsia="標楷體" w:hAnsi="標楷體" w:hint="eastAsia"/>
          <w:color w:val="000000"/>
          <w:sz w:val="30"/>
          <w:szCs w:val="30"/>
        </w:rPr>
        <w:t>兩者</w:t>
      </w:r>
      <w:r w:rsidR="003877A1" w:rsidRPr="001D551B">
        <w:rPr>
          <w:rFonts w:ascii="標楷體" w:eastAsia="標楷體" w:hAnsi="標楷體"/>
          <w:color w:val="000000"/>
          <w:sz w:val="30"/>
          <w:szCs w:val="30"/>
        </w:rPr>
        <w:t>乃不同之概念。</w:t>
      </w:r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而</w:t>
      </w:r>
      <w:r w:rsidR="006A5CA0" w:rsidRPr="001D551B">
        <w:rPr>
          <w:rFonts w:ascii="標楷體" w:eastAsia="標楷體" w:hAnsi="標楷體" w:hint="eastAsia"/>
          <w:color w:val="000000"/>
          <w:sz w:val="30"/>
          <w:szCs w:val="30"/>
        </w:rPr>
        <w:t>民訴第78條至第86條之規定，乃法院為訴訟費用裁判之依據；</w:t>
      </w:r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訴訟費用額之確定，</w:t>
      </w:r>
      <w:r w:rsidR="009D5ADD" w:rsidRPr="001D551B">
        <w:rPr>
          <w:rFonts w:ascii="標楷體" w:eastAsia="標楷體" w:hAnsi="標楷體" w:hint="eastAsia"/>
          <w:color w:val="000000"/>
          <w:sz w:val="30"/>
          <w:szCs w:val="30"/>
        </w:rPr>
        <w:t>則</w:t>
      </w:r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須以訴訟費用之裁判為依據</w:t>
      </w:r>
      <w:r w:rsidR="006A5CA0" w:rsidRPr="001D551B">
        <w:rPr>
          <w:rFonts w:ascii="標楷體" w:eastAsia="標楷體" w:hAnsi="標楷體" w:hint="eastAsia"/>
          <w:color w:val="000000"/>
          <w:sz w:val="30"/>
          <w:szCs w:val="30"/>
        </w:rPr>
        <w:t>，</w:t>
      </w:r>
      <w:r w:rsidR="009D5ADD" w:rsidRPr="001D551B">
        <w:rPr>
          <w:rFonts w:ascii="標楷體" w:eastAsia="標楷體" w:hAnsi="標楷體" w:hint="eastAsia"/>
          <w:color w:val="000000"/>
          <w:sz w:val="30"/>
          <w:szCs w:val="30"/>
        </w:rPr>
        <w:t>不因訴訟是否經裁判而終結有所不同</w:t>
      </w:r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。</w:t>
      </w:r>
    </w:p>
    <w:p w:rsidR="004E23E7" w:rsidRPr="00D85BF1" w:rsidRDefault="004E23E7" w:rsidP="004E23E7">
      <w:pPr>
        <w:spacing w:line="620" w:lineRule="exact"/>
        <w:ind w:left="601" w:hangingChars="200" w:hanging="601"/>
        <w:jc w:val="both"/>
        <w:rPr>
          <w:rFonts w:ascii="標楷體" w:eastAsia="標楷體" w:hAnsi="標楷體"/>
          <w:b/>
          <w:color w:val="000000"/>
          <w:sz w:val="30"/>
          <w:szCs w:val="30"/>
        </w:rPr>
      </w:pPr>
      <w:r w:rsidRPr="00D85BF1">
        <w:rPr>
          <w:rFonts w:ascii="標楷體" w:eastAsia="標楷體" w:hAnsi="標楷體" w:hint="eastAsia"/>
          <w:b/>
          <w:color w:val="000000"/>
          <w:sz w:val="30"/>
          <w:szCs w:val="30"/>
        </w:rPr>
        <w:t>二、</w:t>
      </w: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當事人</w:t>
      </w:r>
      <w:r w:rsidR="00D90F1D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未依</w:t>
      </w: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民訴第90條</w:t>
      </w:r>
      <w:r w:rsidR="00D90F1D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規定於</w:t>
      </w: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不變期間</w:t>
      </w:r>
      <w:r w:rsidR="00D90F1D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內</w:t>
      </w: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聲請</w:t>
      </w:r>
      <w:r w:rsidR="00E14624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法院</w:t>
      </w: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為訴訟費用之裁判，</w:t>
      </w:r>
      <w:proofErr w:type="gramStart"/>
      <w:r w:rsidR="005E677D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已生失權</w:t>
      </w:r>
      <w:proofErr w:type="gramEnd"/>
      <w:r w:rsidR="005E677D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效果，</w:t>
      </w:r>
      <w:proofErr w:type="gramStart"/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不具聲請</w:t>
      </w:r>
      <w:proofErr w:type="gramEnd"/>
      <w:r w:rsidR="00D90F1D"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核定第三審律師酬金</w:t>
      </w:r>
      <w:r w:rsidRPr="00D85BF1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之法律上利益</w:t>
      </w:r>
    </w:p>
    <w:p w:rsidR="007B1747" w:rsidRPr="001D551B" w:rsidRDefault="00A43B1F" w:rsidP="008778C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color w:val="000000"/>
          <w:sz w:val="30"/>
          <w:szCs w:val="30"/>
        </w:rPr>
        <w:t>有償還請求權之</w:t>
      </w:r>
      <w:proofErr w:type="gramStart"/>
      <w:r w:rsidRPr="001D551B">
        <w:rPr>
          <w:rFonts w:ascii="標楷體" w:eastAsia="標楷體" w:hAnsi="標楷體" w:hint="eastAsia"/>
          <w:color w:val="000000"/>
          <w:sz w:val="30"/>
          <w:szCs w:val="30"/>
        </w:rPr>
        <w:t>一</w:t>
      </w:r>
      <w:proofErr w:type="gramEnd"/>
      <w:r w:rsidRPr="001D551B">
        <w:rPr>
          <w:rFonts w:ascii="標楷體" w:eastAsia="標楷體" w:hAnsi="標楷體" w:hint="eastAsia"/>
          <w:color w:val="000000"/>
          <w:sz w:val="30"/>
          <w:szCs w:val="30"/>
        </w:rPr>
        <w:t>造當事人，</w:t>
      </w:r>
      <w:r w:rsidR="007B6683" w:rsidRPr="001D551B">
        <w:rPr>
          <w:rFonts w:ascii="標楷體" w:eastAsia="標楷體" w:hAnsi="標楷體" w:hint="eastAsia"/>
          <w:color w:val="000000"/>
          <w:sz w:val="30"/>
          <w:szCs w:val="30"/>
        </w:rPr>
        <w:t>依</w:t>
      </w:r>
      <w:proofErr w:type="gramStart"/>
      <w:r w:rsidR="007B6683" w:rsidRPr="001D551B">
        <w:rPr>
          <w:rFonts w:ascii="標楷體" w:eastAsia="標楷體" w:hAnsi="標楷體" w:hint="eastAsia"/>
          <w:color w:val="000000"/>
          <w:sz w:val="30"/>
          <w:szCs w:val="30"/>
        </w:rPr>
        <w:t>民訴</w:t>
      </w:r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所定</w:t>
      </w:r>
      <w:proofErr w:type="gramEnd"/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訴訟費用相關</w:t>
      </w:r>
      <w:r w:rsidR="007B6683" w:rsidRPr="001D551B">
        <w:rPr>
          <w:rFonts w:ascii="標楷體" w:eastAsia="標楷體" w:hAnsi="標楷體" w:hint="eastAsia"/>
          <w:color w:val="000000"/>
          <w:sz w:val="30"/>
          <w:szCs w:val="30"/>
        </w:rPr>
        <w:t>程序</w:t>
      </w:r>
      <w:r w:rsidR="00A075A7" w:rsidRPr="001D551B">
        <w:rPr>
          <w:rFonts w:ascii="標楷體" w:eastAsia="標楷體" w:hAnsi="標楷體" w:hint="eastAsia"/>
          <w:color w:val="000000"/>
          <w:sz w:val="30"/>
          <w:szCs w:val="30"/>
        </w:rPr>
        <w:t>，</w:t>
      </w:r>
      <w:r w:rsidRPr="001D551B">
        <w:rPr>
          <w:rFonts w:ascii="標楷體" w:eastAsia="標楷體" w:hAnsi="標楷體" w:hint="eastAsia"/>
          <w:color w:val="000000"/>
          <w:sz w:val="30"/>
          <w:szCs w:val="30"/>
        </w:rPr>
        <w:t>請求他造</w:t>
      </w:r>
      <w:r w:rsidR="007B6683" w:rsidRPr="001D551B">
        <w:rPr>
          <w:rFonts w:ascii="標楷體" w:eastAsia="標楷體" w:hAnsi="標楷體" w:hint="eastAsia"/>
          <w:color w:val="000000"/>
          <w:sz w:val="30"/>
          <w:szCs w:val="30"/>
        </w:rPr>
        <w:t>或第三人</w:t>
      </w:r>
      <w:r w:rsidRPr="001D551B">
        <w:rPr>
          <w:rFonts w:ascii="標楷體" w:eastAsia="標楷體" w:hAnsi="標楷體" w:hint="eastAsia"/>
          <w:color w:val="000000"/>
          <w:sz w:val="30"/>
          <w:szCs w:val="30"/>
        </w:rPr>
        <w:t>給付其應負擔之訴訟費用，</w:t>
      </w:r>
      <w:r w:rsidR="008A5A61" w:rsidRPr="001D551B">
        <w:rPr>
          <w:rFonts w:ascii="標楷體" w:eastAsia="標楷體" w:hAnsi="標楷體" w:hint="eastAsia"/>
          <w:color w:val="000000"/>
          <w:sz w:val="30"/>
          <w:szCs w:val="30"/>
        </w:rPr>
        <w:t>須以</w:t>
      </w:r>
      <w:r w:rsidR="00562C6F">
        <w:rPr>
          <w:rFonts w:ascii="標楷體" w:eastAsia="標楷體" w:hAnsi="標楷體" w:hint="eastAsia"/>
          <w:color w:val="000000"/>
          <w:sz w:val="30"/>
          <w:szCs w:val="30"/>
        </w:rPr>
        <w:t>命</w:t>
      </w:r>
      <w:r w:rsidR="00EA3D2E">
        <w:rPr>
          <w:rFonts w:ascii="標楷體" w:eastAsia="標楷體" w:hAnsi="標楷體" w:hint="eastAsia"/>
          <w:color w:val="000000"/>
          <w:sz w:val="30"/>
          <w:szCs w:val="30"/>
        </w:rPr>
        <w:t>負擔</w:t>
      </w:r>
      <w:r w:rsidR="008A5A61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</w:t>
      </w:r>
      <w:r w:rsidR="00562C6F">
        <w:rPr>
          <w:rFonts w:ascii="標楷體" w:eastAsia="標楷體" w:hAnsi="標楷體" w:hint="eastAsia"/>
          <w:color w:val="000000"/>
          <w:sz w:val="30"/>
          <w:szCs w:val="30"/>
        </w:rPr>
        <w:t>及確定訴訟費用額</w:t>
      </w:r>
      <w:r w:rsidR="00895C9B" w:rsidRPr="001D551B">
        <w:rPr>
          <w:rFonts w:ascii="標楷體" w:eastAsia="標楷體" w:hAnsi="標楷體" w:hint="eastAsia"/>
          <w:color w:val="000000"/>
          <w:sz w:val="30"/>
          <w:szCs w:val="30"/>
        </w:rPr>
        <w:t>之裁判</w:t>
      </w:r>
      <w:r w:rsidR="008A5A61" w:rsidRPr="001D551B">
        <w:rPr>
          <w:rFonts w:ascii="標楷體" w:eastAsia="標楷體" w:hAnsi="標楷體" w:hint="eastAsia"/>
          <w:color w:val="000000"/>
          <w:sz w:val="30"/>
          <w:szCs w:val="30"/>
        </w:rPr>
        <w:t>為執行名義，始得聲請</w:t>
      </w:r>
      <w:r w:rsidR="00895C9B" w:rsidRPr="001D551B">
        <w:rPr>
          <w:rFonts w:ascii="標楷體" w:eastAsia="標楷體" w:hAnsi="標楷體" w:hint="eastAsia"/>
          <w:color w:val="000000"/>
          <w:sz w:val="30"/>
          <w:szCs w:val="30"/>
        </w:rPr>
        <w:t>強制執行。</w:t>
      </w:r>
      <w:r w:rsidR="008F3BE1" w:rsidRPr="001D551B">
        <w:rPr>
          <w:rFonts w:ascii="標楷體" w:eastAsia="標楷體" w:hAnsi="標楷體"/>
          <w:bCs/>
          <w:color w:val="000000"/>
          <w:sz w:val="30"/>
          <w:szCs w:val="30"/>
        </w:rPr>
        <w:t>法院</w:t>
      </w:r>
      <w:r w:rsidR="008F3BE1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如未於</w:t>
      </w:r>
      <w:r w:rsidR="008F3BE1" w:rsidRPr="001D551B">
        <w:rPr>
          <w:rFonts w:ascii="標楷體" w:eastAsia="標楷體" w:hAnsi="標楷體"/>
          <w:bCs/>
          <w:color w:val="000000"/>
          <w:sz w:val="30"/>
          <w:szCs w:val="30"/>
        </w:rPr>
        <w:t>終局判決</w:t>
      </w:r>
      <w:proofErr w:type="gramStart"/>
      <w:r w:rsidR="008F3BE1" w:rsidRPr="001D551B">
        <w:rPr>
          <w:rFonts w:ascii="標楷體" w:eastAsia="標楷體" w:hAnsi="標楷體"/>
          <w:bCs/>
          <w:color w:val="000000"/>
          <w:sz w:val="30"/>
          <w:szCs w:val="30"/>
        </w:rPr>
        <w:t>時為</w:t>
      </w:r>
      <w:r w:rsidR="00D85BF1">
        <w:rPr>
          <w:rFonts w:ascii="標楷體" w:eastAsia="標楷體" w:hAnsi="標楷體" w:hint="eastAsia"/>
          <w:bCs/>
          <w:color w:val="000000"/>
          <w:sz w:val="30"/>
          <w:szCs w:val="30"/>
        </w:rPr>
        <w:t>命</w:t>
      </w:r>
      <w:r w:rsidR="008F3BE1" w:rsidRPr="001D551B">
        <w:rPr>
          <w:rFonts w:ascii="標楷體" w:eastAsia="標楷體" w:hAnsi="標楷體"/>
          <w:bCs/>
          <w:color w:val="000000"/>
          <w:sz w:val="30"/>
          <w:szCs w:val="30"/>
        </w:rPr>
        <w:t>訴訟</w:t>
      </w:r>
      <w:proofErr w:type="gramEnd"/>
      <w:r w:rsidR="008F3BE1" w:rsidRPr="001D551B">
        <w:rPr>
          <w:rFonts w:ascii="標楷體" w:eastAsia="標楷體" w:hAnsi="標楷體"/>
          <w:bCs/>
          <w:color w:val="000000"/>
          <w:sz w:val="30"/>
          <w:szCs w:val="30"/>
        </w:rPr>
        <w:t>費用</w:t>
      </w:r>
      <w:r w:rsidR="00D85BF1">
        <w:rPr>
          <w:rFonts w:ascii="標楷體" w:eastAsia="標楷體" w:hAnsi="標楷體" w:hint="eastAsia"/>
          <w:bCs/>
          <w:color w:val="000000"/>
          <w:sz w:val="30"/>
          <w:szCs w:val="30"/>
        </w:rPr>
        <w:t>負擔</w:t>
      </w:r>
      <w:r w:rsidR="008F3BE1" w:rsidRPr="001D551B">
        <w:rPr>
          <w:rFonts w:ascii="標楷體" w:eastAsia="標楷體" w:hAnsi="標楷體"/>
          <w:bCs/>
          <w:color w:val="000000"/>
          <w:sz w:val="30"/>
          <w:szCs w:val="30"/>
        </w:rPr>
        <w:t>之裁判</w:t>
      </w:r>
      <w:r w:rsidR="008F3BE1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，屬裁判之脫漏，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當事人得聲請補充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裁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判（民訴第233條第1項），因該部分仍</w:t>
      </w:r>
      <w:proofErr w:type="gramStart"/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繫</w:t>
      </w:r>
      <w:proofErr w:type="gramEnd"/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屬法院，法院就該脫漏部分有續行審判之義務，故</w:t>
      </w:r>
      <w:r w:rsidR="00F55207">
        <w:rPr>
          <w:rFonts w:ascii="標楷體" w:eastAsia="標楷體" w:hAnsi="標楷體" w:hint="eastAsia"/>
          <w:bCs/>
          <w:color w:val="000000"/>
          <w:sz w:val="30"/>
          <w:szCs w:val="30"/>
        </w:rPr>
        <w:t>民國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92年修</w:t>
      </w:r>
      <w:r w:rsidR="00354172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正民訴第233條第1項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增訂法院</w:t>
      </w:r>
      <w:r w:rsidR="00354172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應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依職權為之，並刪除當事人聲請之不變期間限制。</w:t>
      </w:r>
      <w:proofErr w:type="gramStart"/>
      <w:r w:rsidR="008F3DF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惟</w:t>
      </w:r>
      <w:proofErr w:type="gramEnd"/>
      <w:r w:rsidR="00653C1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訴訟不經裁判而終結，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當事人是否聲請法院以裁定為訴訟費用之裁判，</w:t>
      </w:r>
      <w:proofErr w:type="gramStart"/>
      <w:r w:rsidR="007E50C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核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屬處</w:t>
      </w:r>
      <w:proofErr w:type="gramEnd"/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分權之範疇，</w:t>
      </w:r>
      <w:r w:rsidR="008F3DF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而</w:t>
      </w:r>
      <w:r w:rsidR="00895C9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訴訟費用如何負擔</w:t>
      </w:r>
      <w:r w:rsidR="00A075A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及其數額之確定</w:t>
      </w:r>
      <w:r w:rsidR="00D85BF1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r w:rsidR="00895C9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乃本案訴訟附隨之事項，</w:t>
      </w:r>
      <w:r w:rsidR="0057045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自</w:t>
      </w:r>
      <w:r w:rsidR="00F438A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不</w:t>
      </w:r>
      <w:r w:rsidR="0057045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宜</w:t>
      </w:r>
      <w:r w:rsidR="00895C9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訴訟終結</w:t>
      </w:r>
      <w:r w:rsidR="00516BD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多時猶懸而</w:t>
      </w:r>
      <w:r w:rsidR="00895C9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未</w:t>
      </w:r>
      <w:r w:rsidR="00F438A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決，為使該事項得以迅速確定，</w:t>
      </w:r>
      <w:r w:rsidR="00653C1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民訴第90條第2項</w:t>
      </w:r>
      <w:r w:rsidR="00D85BF1">
        <w:rPr>
          <w:rFonts w:ascii="標楷體" w:eastAsia="標楷體" w:hAnsi="標楷體" w:hint="eastAsia"/>
          <w:bCs/>
          <w:color w:val="000000"/>
          <w:sz w:val="30"/>
          <w:szCs w:val="30"/>
        </w:rPr>
        <w:t>乃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設有不變期間之規定</w:t>
      </w:r>
      <w:r w:rsidR="00D85BF1">
        <w:rPr>
          <w:rFonts w:ascii="標楷體" w:eastAsia="標楷體" w:hAnsi="標楷體" w:hint="eastAsia"/>
          <w:bCs/>
          <w:color w:val="000000"/>
          <w:sz w:val="30"/>
          <w:szCs w:val="30"/>
        </w:rPr>
        <w:t>，此屬立法衡量範疇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。當事人遲誤該不變</w:t>
      </w:r>
      <w:proofErr w:type="gramStart"/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期間，</w:t>
      </w:r>
      <w:r w:rsidR="00D85BF1">
        <w:rPr>
          <w:rFonts w:ascii="標楷體" w:eastAsia="標楷體" w:hAnsi="標楷體" w:hint="eastAsia"/>
          <w:bCs/>
          <w:color w:val="000000"/>
          <w:sz w:val="30"/>
          <w:szCs w:val="30"/>
        </w:rPr>
        <w:t>自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生失</w:t>
      </w:r>
      <w:proofErr w:type="gramEnd"/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權</w:t>
      </w:r>
      <w:r w:rsidR="007E50C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效果，就</w:t>
      </w:r>
      <w:r w:rsidR="002B59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其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支出訴訟費用</w:t>
      </w:r>
      <w:r w:rsidR="002B59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之求償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，已無從</w:t>
      </w:r>
      <w:r w:rsidR="007E50C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>藉由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法院</w:t>
      </w:r>
      <w:r w:rsidR="008778C9">
        <w:rPr>
          <w:rFonts w:ascii="標楷體" w:eastAsia="標楷體" w:hAnsi="標楷體" w:hint="eastAsia"/>
          <w:bCs/>
          <w:color w:val="000000"/>
          <w:sz w:val="30"/>
          <w:szCs w:val="30"/>
        </w:rPr>
        <w:t>確定</w:t>
      </w:r>
      <w:r w:rsidR="00A075A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訴訟費用</w:t>
      </w:r>
      <w:r w:rsidR="008778C9">
        <w:rPr>
          <w:rFonts w:ascii="標楷體" w:eastAsia="標楷體" w:hAnsi="標楷體" w:hint="eastAsia"/>
          <w:bCs/>
          <w:color w:val="000000"/>
          <w:sz w:val="30"/>
          <w:szCs w:val="30"/>
        </w:rPr>
        <w:t>額</w:t>
      </w:r>
      <w:r w:rsidR="00451140">
        <w:rPr>
          <w:rFonts w:ascii="標楷體" w:eastAsia="標楷體" w:hAnsi="標楷體" w:hint="eastAsia"/>
          <w:bCs/>
          <w:color w:val="000000"/>
          <w:sz w:val="30"/>
          <w:szCs w:val="30"/>
        </w:rPr>
        <w:t>等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裁</w:t>
      </w:r>
      <w:r w:rsidR="007E50C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判</w:t>
      </w:r>
      <w:r w:rsidR="00E114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為強制執行，至其能否訴請對造賠償，則屬另一問題。</w:t>
      </w:r>
      <w:proofErr w:type="gramStart"/>
      <w:r w:rsidR="0058229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況其另訴請求</w:t>
      </w:r>
      <w:proofErr w:type="gramEnd"/>
      <w:r w:rsidR="0058229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有無理由，受訴法院應審酌其請求權是否具備、損害額是否相當，法院核定律師酬金之裁定，對於受訴法院並無拘束力，至多僅能作為裁判之參考，而法院縱未為律師酬金之核定，亦無礙當事人請求對造賠償此損害。</w:t>
      </w:r>
      <w:r w:rsidR="00E1462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是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當事人於無從</w:t>
      </w:r>
      <w:proofErr w:type="gramStart"/>
      <w:r w:rsidR="008A2DCC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循</w:t>
      </w:r>
      <w:proofErr w:type="gramEnd"/>
      <w:r w:rsidR="009303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法</w:t>
      </w:r>
      <w:r w:rsidR="008A2DCC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定</w:t>
      </w:r>
      <w:r w:rsidR="009303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</w:t>
      </w:r>
      <w:r w:rsidR="008A2DCC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訴訟費用</w:t>
      </w:r>
      <w:r w:rsidR="009303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求償程序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請求他造賠償訴訟費用後，</w:t>
      </w:r>
      <w:r w:rsidR="008778C9">
        <w:rPr>
          <w:rFonts w:ascii="標楷體" w:eastAsia="標楷體" w:hAnsi="標楷體" w:hint="eastAsia"/>
          <w:bCs/>
          <w:color w:val="000000"/>
          <w:sz w:val="30"/>
          <w:szCs w:val="30"/>
        </w:rPr>
        <w:t>其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請求法院</w:t>
      </w:r>
      <w:r w:rsidR="008778C9">
        <w:rPr>
          <w:rFonts w:ascii="標楷體" w:eastAsia="標楷體" w:hAnsi="標楷體" w:hint="eastAsia"/>
          <w:bCs/>
          <w:color w:val="000000"/>
          <w:sz w:val="30"/>
          <w:szCs w:val="30"/>
        </w:rPr>
        <w:t>核定律師酬金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，至多僅有事實上之利益（例如</w:t>
      </w:r>
      <w:r w:rsidR="008A2DCC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向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他造當事人</w:t>
      </w:r>
      <w:r w:rsidR="0032710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另為</w:t>
      </w:r>
      <w:r w:rsidR="008A2DCC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請求</w:t>
      </w:r>
      <w:r w:rsidR="009303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因而獲償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），難認具備</w:t>
      </w:r>
      <w:r w:rsidR="0057045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法律上之權利保護必要性</w:t>
      </w:r>
      <w:r w:rsidR="00A175E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</w:p>
    <w:p w:rsidR="00903F6D" w:rsidRPr="001D551B" w:rsidRDefault="00CD4B99" w:rsidP="008778C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第三審律師</w:t>
      </w:r>
      <w:r w:rsidR="000C0F61">
        <w:rPr>
          <w:rFonts w:ascii="標楷體" w:eastAsia="標楷體" w:hAnsi="標楷體" w:hint="eastAsia"/>
          <w:bCs/>
          <w:color w:val="000000"/>
          <w:sz w:val="30"/>
          <w:szCs w:val="30"/>
        </w:rPr>
        <w:t>之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酬金</w:t>
      </w:r>
      <w:r w:rsidR="000C0F61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為訴訟費用之一部，為</w:t>
      </w:r>
      <w:r w:rsidRPr="001D551B">
        <w:rPr>
          <w:rFonts w:ascii="標楷體" w:eastAsia="標楷體" w:hAnsi="標楷體"/>
          <w:color w:val="000000"/>
          <w:sz w:val="30"/>
          <w:szCs w:val="30"/>
        </w:rPr>
        <w:t>民訴第466條之3第1項</w:t>
      </w:r>
      <w:r w:rsidRPr="001D551B">
        <w:rPr>
          <w:rFonts w:ascii="標楷體" w:eastAsia="標楷體" w:hAnsi="標楷體" w:hint="eastAsia"/>
          <w:color w:val="000000"/>
          <w:sz w:val="30"/>
          <w:szCs w:val="30"/>
        </w:rPr>
        <w:t>前段所明定</w:t>
      </w:r>
      <w:r w:rsidR="009E3018" w:rsidRPr="001D551B">
        <w:rPr>
          <w:rFonts w:ascii="標楷體" w:eastAsia="標楷體" w:hAnsi="標楷體" w:hint="eastAsia"/>
          <w:color w:val="000000"/>
          <w:sz w:val="30"/>
          <w:szCs w:val="30"/>
        </w:rPr>
        <w:t>。</w:t>
      </w:r>
      <w:r w:rsidR="00491AF7" w:rsidRPr="001D551B">
        <w:rPr>
          <w:rFonts w:ascii="標楷體" w:eastAsia="標楷體" w:hAnsi="標楷體" w:hint="eastAsia"/>
          <w:bCs/>
          <w:sz w:val="30"/>
          <w:szCs w:val="30"/>
        </w:rPr>
        <w:t>109年12月30日修正、110年1月20施行之民訴第77條之25條第3項規定「前項律師酬金之數額，法院為終局裁判時，應</w:t>
      </w:r>
      <w:proofErr w:type="gramStart"/>
      <w:r w:rsidR="00491AF7" w:rsidRPr="001D551B">
        <w:rPr>
          <w:rFonts w:ascii="標楷體" w:eastAsia="標楷體" w:hAnsi="標楷體" w:hint="eastAsia"/>
          <w:bCs/>
          <w:sz w:val="30"/>
          <w:szCs w:val="30"/>
        </w:rPr>
        <w:t>併</w:t>
      </w:r>
      <w:proofErr w:type="gramEnd"/>
      <w:r w:rsidR="00491AF7" w:rsidRPr="001D551B">
        <w:rPr>
          <w:rFonts w:ascii="標楷體" w:eastAsia="標楷體" w:hAnsi="標楷體" w:hint="eastAsia"/>
          <w:bCs/>
          <w:sz w:val="30"/>
          <w:szCs w:val="30"/>
        </w:rPr>
        <w:t>予酌定；訴訟不經裁判而終結者，法院</w:t>
      </w:r>
      <w:proofErr w:type="gramStart"/>
      <w:r w:rsidR="00491AF7" w:rsidRPr="001D551B">
        <w:rPr>
          <w:rFonts w:ascii="標楷體" w:eastAsia="標楷體" w:hAnsi="標楷體" w:hint="eastAsia"/>
          <w:bCs/>
          <w:sz w:val="30"/>
          <w:szCs w:val="30"/>
        </w:rPr>
        <w:t>應依聲請</w:t>
      </w:r>
      <w:proofErr w:type="gramEnd"/>
      <w:r w:rsidR="00491AF7" w:rsidRPr="001D551B">
        <w:rPr>
          <w:rFonts w:ascii="標楷體" w:eastAsia="標楷體" w:hAnsi="標楷體" w:hint="eastAsia"/>
          <w:bCs/>
          <w:sz w:val="30"/>
          <w:szCs w:val="30"/>
        </w:rPr>
        <w:t>以裁定酌定之」</w:t>
      </w:r>
      <w:r w:rsidR="00F72BF8" w:rsidRPr="001D551B">
        <w:rPr>
          <w:rFonts w:ascii="標楷體" w:eastAsia="標楷體" w:hAnsi="標楷體" w:hint="eastAsia"/>
          <w:bCs/>
          <w:sz w:val="30"/>
          <w:szCs w:val="30"/>
        </w:rPr>
        <w:t>，</w:t>
      </w:r>
      <w:r w:rsidR="00061F72" w:rsidRPr="001D551B">
        <w:rPr>
          <w:rFonts w:ascii="標楷體" w:eastAsia="標楷體" w:hAnsi="標楷體" w:hint="eastAsia"/>
          <w:bCs/>
          <w:sz w:val="30"/>
          <w:szCs w:val="30"/>
        </w:rPr>
        <w:t>乃為程序經濟而簡化核定律師酬金之流程</w:t>
      </w:r>
      <w:r w:rsidR="00491AF7" w:rsidRPr="001D551B">
        <w:rPr>
          <w:rFonts w:ascii="標楷體" w:eastAsia="標楷體" w:hAnsi="標楷體"/>
          <w:sz w:val="30"/>
          <w:szCs w:val="30"/>
        </w:rPr>
        <w:t>，</w:t>
      </w:r>
      <w:r w:rsidR="00930363" w:rsidRPr="001D551B">
        <w:rPr>
          <w:rFonts w:ascii="標楷體" w:eastAsia="標楷體" w:hAnsi="標楷體" w:hint="eastAsia"/>
          <w:sz w:val="30"/>
          <w:szCs w:val="30"/>
        </w:rPr>
        <w:t>無</w:t>
      </w:r>
      <w:r w:rsidR="003066A9" w:rsidRPr="001D551B">
        <w:rPr>
          <w:rFonts w:ascii="標楷體" w:eastAsia="標楷體" w:hAnsi="標楷體" w:hint="eastAsia"/>
          <w:sz w:val="30"/>
          <w:szCs w:val="30"/>
        </w:rPr>
        <w:t>涉</w:t>
      </w:r>
      <w:r w:rsidR="00061F72" w:rsidRPr="001D551B">
        <w:rPr>
          <w:rFonts w:ascii="標楷體" w:eastAsia="標楷體" w:hAnsi="標楷體" w:hint="eastAsia"/>
          <w:sz w:val="30"/>
          <w:szCs w:val="30"/>
        </w:rPr>
        <w:t>核定律師酬金之性質及目的，</w:t>
      </w:r>
      <w:proofErr w:type="gramStart"/>
      <w:r w:rsidR="00061F72" w:rsidRPr="001D551B">
        <w:rPr>
          <w:rFonts w:ascii="標楷體" w:eastAsia="標楷體" w:hAnsi="標楷體" w:hint="eastAsia"/>
          <w:sz w:val="30"/>
          <w:szCs w:val="30"/>
        </w:rPr>
        <w:t>觀該項</w:t>
      </w:r>
      <w:proofErr w:type="gramEnd"/>
      <w:r w:rsidR="00061F72" w:rsidRPr="001D551B">
        <w:rPr>
          <w:rFonts w:ascii="標楷體" w:eastAsia="標楷體" w:hAnsi="標楷體" w:hint="eastAsia"/>
          <w:sz w:val="30"/>
          <w:szCs w:val="30"/>
        </w:rPr>
        <w:t>之修正理由</w:t>
      </w:r>
      <w:r w:rsidR="00EC729A" w:rsidRPr="001D551B">
        <w:rPr>
          <w:rFonts w:ascii="標楷體" w:eastAsia="標楷體" w:hAnsi="標楷體" w:hint="eastAsia"/>
          <w:sz w:val="30"/>
          <w:szCs w:val="30"/>
        </w:rPr>
        <w:t>亦</w:t>
      </w:r>
      <w:r w:rsidR="00061F72" w:rsidRPr="001D551B">
        <w:rPr>
          <w:rFonts w:ascii="標楷體" w:eastAsia="標楷體" w:hAnsi="標楷體" w:hint="eastAsia"/>
          <w:sz w:val="30"/>
          <w:szCs w:val="30"/>
        </w:rPr>
        <w:t>明。</w:t>
      </w:r>
      <w:r w:rsidR="003066A9" w:rsidRPr="001D551B">
        <w:rPr>
          <w:rFonts w:ascii="標楷體" w:eastAsia="標楷體" w:hAnsi="標楷體"/>
          <w:color w:val="000000"/>
          <w:sz w:val="30"/>
          <w:szCs w:val="30"/>
        </w:rPr>
        <w:t>聲請核定第三審律師酬金之目的</w:t>
      </w:r>
      <w:r w:rsidR="00D85BF1">
        <w:rPr>
          <w:rFonts w:ascii="標楷體" w:eastAsia="標楷體" w:hAnsi="標楷體" w:hint="eastAsia"/>
          <w:color w:val="000000"/>
          <w:sz w:val="30"/>
          <w:szCs w:val="30"/>
        </w:rPr>
        <w:t>，</w:t>
      </w:r>
      <w:r w:rsidR="003066A9" w:rsidRPr="001D551B">
        <w:rPr>
          <w:rFonts w:ascii="標楷體" w:eastAsia="標楷體" w:hAnsi="標楷體"/>
          <w:color w:val="000000"/>
          <w:sz w:val="30"/>
          <w:szCs w:val="30"/>
        </w:rPr>
        <w:t>在於確定訴訟費用額，即確定應負擔訴訟費用之</w:t>
      </w:r>
      <w:proofErr w:type="gramStart"/>
      <w:r w:rsidR="003066A9" w:rsidRPr="001D551B">
        <w:rPr>
          <w:rFonts w:ascii="標楷體" w:eastAsia="標楷體" w:hAnsi="標楷體"/>
          <w:color w:val="000000"/>
          <w:sz w:val="30"/>
          <w:szCs w:val="30"/>
        </w:rPr>
        <w:t>一</w:t>
      </w:r>
      <w:proofErr w:type="gramEnd"/>
      <w:r w:rsidR="003066A9" w:rsidRPr="001D551B">
        <w:rPr>
          <w:rFonts w:ascii="標楷體" w:eastAsia="標楷體" w:hAnsi="標楷體"/>
          <w:color w:val="000000"/>
          <w:sz w:val="30"/>
          <w:szCs w:val="30"/>
        </w:rPr>
        <w:t>造應賠償</w:t>
      </w:r>
      <w:proofErr w:type="gramStart"/>
      <w:r w:rsidR="003066A9" w:rsidRPr="001D551B">
        <w:rPr>
          <w:rFonts w:ascii="標楷體" w:eastAsia="標楷體" w:hAnsi="標楷體"/>
          <w:color w:val="000000"/>
          <w:sz w:val="30"/>
          <w:szCs w:val="30"/>
        </w:rPr>
        <w:t>他造所支出</w:t>
      </w:r>
      <w:proofErr w:type="gramEnd"/>
      <w:r w:rsidR="000D044E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律師</w:t>
      </w:r>
      <w:proofErr w:type="gramStart"/>
      <w:r w:rsidR="000D044E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酬</w:t>
      </w:r>
      <w:proofErr w:type="gramEnd"/>
      <w:r w:rsidR="000D044E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金中得列為訴訟費用之數額</w:t>
      </w:r>
      <w:r w:rsidR="003066A9" w:rsidRPr="001D551B">
        <w:rPr>
          <w:rFonts w:ascii="標楷體" w:eastAsia="標楷體" w:hAnsi="標楷體" w:hint="eastAsia"/>
          <w:color w:val="000000"/>
          <w:sz w:val="30"/>
          <w:szCs w:val="30"/>
        </w:rPr>
        <w:t>，其性質與民訴第91條所定訴訟費用額之確定，並無不同，</w:t>
      </w:r>
      <w:proofErr w:type="gramStart"/>
      <w:r w:rsidR="003066A9" w:rsidRPr="001D551B">
        <w:rPr>
          <w:rFonts w:ascii="標楷體" w:eastAsia="標楷體" w:hAnsi="標楷體" w:hint="eastAsia"/>
          <w:color w:val="000000"/>
          <w:sz w:val="30"/>
          <w:szCs w:val="30"/>
        </w:rPr>
        <w:t>自均以命</w:t>
      </w:r>
      <w:proofErr w:type="gramEnd"/>
      <w:r w:rsidR="003066A9" w:rsidRPr="001D551B">
        <w:rPr>
          <w:rFonts w:ascii="標楷體" w:eastAsia="標楷體" w:hAnsi="標楷體" w:hint="eastAsia"/>
          <w:color w:val="000000"/>
          <w:sz w:val="30"/>
          <w:szCs w:val="30"/>
        </w:rPr>
        <w:t>負擔訴訟費用之裁判存在為前提。</w:t>
      </w:r>
      <w:r w:rsidR="003066A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於有同法第90條第1項前段所定情事而當事人不依法聲請法院為訴訟費用之裁判時，其既不得請求對造負擔該項酬金，其聲請核定律師</w:t>
      </w:r>
      <w:r w:rsidR="003066A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>酬金，</w:t>
      </w:r>
      <w:r w:rsidR="00EC729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即</w:t>
      </w:r>
      <w:proofErr w:type="gramStart"/>
      <w:r w:rsidR="003066A9" w:rsidRPr="001D551B">
        <w:rPr>
          <w:rFonts w:ascii="標楷體" w:eastAsia="標楷體" w:hAnsi="標楷體"/>
          <w:sz w:val="30"/>
          <w:szCs w:val="30"/>
        </w:rPr>
        <w:t>欠缺合</w:t>
      </w:r>
      <w:proofErr w:type="gramEnd"/>
      <w:r w:rsidR="003066A9" w:rsidRPr="001D551B">
        <w:rPr>
          <w:rFonts w:ascii="標楷體" w:eastAsia="標楷體" w:hAnsi="標楷體"/>
          <w:sz w:val="30"/>
          <w:szCs w:val="30"/>
        </w:rPr>
        <w:t>目的</w:t>
      </w:r>
      <w:r w:rsidR="003066A9" w:rsidRPr="001D551B">
        <w:rPr>
          <w:rFonts w:ascii="標楷體" w:eastAsia="標楷體" w:hAnsi="標楷體" w:hint="eastAsia"/>
          <w:sz w:val="30"/>
          <w:szCs w:val="30"/>
        </w:rPr>
        <w:t>之</w:t>
      </w:r>
      <w:r w:rsidR="003066A9" w:rsidRPr="001D551B">
        <w:rPr>
          <w:rFonts w:ascii="標楷體" w:eastAsia="標楷體" w:hAnsi="標楷體"/>
          <w:sz w:val="30"/>
          <w:szCs w:val="30"/>
        </w:rPr>
        <w:t>必要</w:t>
      </w:r>
      <w:r w:rsidR="003066A9" w:rsidRPr="001D551B">
        <w:rPr>
          <w:rFonts w:ascii="標楷體" w:eastAsia="標楷體" w:hAnsi="標楷體" w:hint="eastAsia"/>
          <w:sz w:val="30"/>
          <w:szCs w:val="30"/>
        </w:rPr>
        <w:t>性，</w:t>
      </w:r>
      <w:r w:rsidR="003066A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不具備</w:t>
      </w:r>
      <w:r w:rsidR="00903F6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權利</w:t>
      </w:r>
      <w:r w:rsidR="003066A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保護要件</w:t>
      </w:r>
      <w:r w:rsidR="00EC729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，自不應准許</w:t>
      </w:r>
      <w:r w:rsidR="003066A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  <w:r w:rsidR="00E84C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否則，無異使民訴第90條規定形同具文。</w:t>
      </w:r>
    </w:p>
    <w:p w:rsidR="00D90F1D" w:rsidRPr="00F1772E" w:rsidRDefault="00D90F1D" w:rsidP="00D90F1D">
      <w:pPr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0"/>
          <w:szCs w:val="30"/>
        </w:rPr>
      </w:pPr>
      <w:r w:rsidRPr="00F1772E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三、本件多數意見之</w:t>
      </w:r>
      <w:proofErr w:type="gramStart"/>
      <w:r w:rsidR="005001C6" w:rsidRPr="00F1772E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評析及本</w:t>
      </w:r>
      <w:proofErr w:type="gramEnd"/>
      <w:r w:rsidR="005001C6" w:rsidRPr="00F1772E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意見書之</w:t>
      </w:r>
      <w:r w:rsidR="00BF744E" w:rsidRPr="00F1772E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結論</w:t>
      </w:r>
    </w:p>
    <w:p w:rsidR="000571FB" w:rsidRPr="001D551B" w:rsidRDefault="00896070" w:rsidP="008778C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本件</w:t>
      </w:r>
      <w:r w:rsidR="001B13D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多數意見</w:t>
      </w:r>
      <w:r w:rsidR="005001C6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理由</w:t>
      </w:r>
      <w:r w:rsidR="003F753D">
        <w:rPr>
          <w:rFonts w:ascii="標楷體" w:eastAsia="標楷體" w:hAnsi="標楷體" w:hint="eastAsia"/>
          <w:bCs/>
          <w:color w:val="000000"/>
          <w:sz w:val="30"/>
          <w:szCs w:val="30"/>
        </w:rPr>
        <w:t>謂</w:t>
      </w:r>
      <w:r w:rsidR="001B13D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法院核定律師之酬金，其目的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在「確定當事人伸張或防衛權利之必要費用額」、「</w:t>
      </w:r>
      <w:r w:rsidR="001B13D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確定</w:t>
      </w: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得作為訴訟費用之律師酬金數額」</w:t>
      </w:r>
      <w:r w:rsidR="001B13D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proofErr w:type="gramStart"/>
      <w:r w:rsidR="003F753D">
        <w:rPr>
          <w:rFonts w:ascii="標楷體" w:eastAsia="標楷體" w:hAnsi="標楷體" w:hint="eastAsia"/>
          <w:bCs/>
          <w:color w:val="000000"/>
          <w:sz w:val="30"/>
          <w:szCs w:val="30"/>
        </w:rPr>
        <w:t>似認核定</w:t>
      </w:r>
      <w:proofErr w:type="gramEnd"/>
      <w:r w:rsidR="003F753D">
        <w:rPr>
          <w:rFonts w:ascii="標楷體" w:eastAsia="標楷體" w:hAnsi="標楷體" w:hint="eastAsia"/>
          <w:bCs/>
          <w:color w:val="000000"/>
          <w:sz w:val="30"/>
          <w:szCs w:val="30"/>
        </w:rPr>
        <w:t>第三審律師酬金之目的係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確定當事人</w:t>
      </w:r>
      <w:proofErr w:type="gramStart"/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一</w:t>
      </w:r>
      <w:proofErr w:type="gramEnd"/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造得請求他造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賠償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其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所支出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律師</w:t>
      </w:r>
      <w:proofErr w:type="gramStart"/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酬</w:t>
      </w:r>
      <w:proofErr w:type="gramEnd"/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金中得列為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訴訟費用之數額</w:t>
      </w:r>
      <w:r w:rsidR="001B13D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。然多數意見</w:t>
      </w:r>
      <w:r w:rsidR="00E1462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未說明</w:t>
      </w:r>
      <w:r w:rsidR="00E14624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</w:t>
      </w:r>
      <w:r w:rsidR="00CB6F63" w:rsidRPr="001D551B">
        <w:rPr>
          <w:rFonts w:ascii="標楷體" w:eastAsia="標楷體" w:hAnsi="標楷體" w:hint="eastAsia"/>
          <w:color w:val="000000"/>
          <w:sz w:val="30"/>
          <w:szCs w:val="30"/>
        </w:rPr>
        <w:t>額之確定</w:t>
      </w:r>
      <w:r w:rsidR="00CA51A5" w:rsidRPr="001D551B">
        <w:rPr>
          <w:rFonts w:ascii="標楷體" w:eastAsia="標楷體" w:hAnsi="標楷體" w:hint="eastAsia"/>
          <w:color w:val="000000"/>
          <w:sz w:val="30"/>
          <w:szCs w:val="30"/>
        </w:rPr>
        <w:t>何以不</w:t>
      </w:r>
      <w:r w:rsidR="00E14624" w:rsidRPr="001D551B">
        <w:rPr>
          <w:rFonts w:ascii="標楷體" w:eastAsia="標楷體" w:hAnsi="標楷體" w:hint="eastAsia"/>
          <w:color w:val="000000"/>
          <w:sz w:val="30"/>
          <w:szCs w:val="30"/>
        </w:rPr>
        <w:t>須以</w:t>
      </w:r>
      <w:r w:rsidR="00D85BF1">
        <w:rPr>
          <w:rFonts w:ascii="標楷體" w:eastAsia="標楷體" w:hAnsi="標楷體" w:hint="eastAsia"/>
          <w:color w:val="000000"/>
          <w:sz w:val="30"/>
          <w:szCs w:val="30"/>
        </w:rPr>
        <w:t>命負擔</w:t>
      </w:r>
      <w:r w:rsidR="00CA51A5" w:rsidRPr="001D551B">
        <w:rPr>
          <w:rFonts w:ascii="標楷體" w:eastAsia="標楷體" w:hAnsi="標楷體" w:hint="eastAsia"/>
          <w:color w:val="000000"/>
          <w:sz w:val="30"/>
          <w:szCs w:val="30"/>
        </w:rPr>
        <w:t>訴訟費用之裁判為依據，</w:t>
      </w:r>
      <w:r w:rsidR="00CA51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核定律師酬金</w:t>
      </w:r>
      <w:r w:rsidR="00CA51A5" w:rsidRPr="001D551B">
        <w:rPr>
          <w:rFonts w:ascii="標楷體" w:eastAsia="標楷體" w:hAnsi="標楷體" w:hint="eastAsia"/>
          <w:color w:val="000000"/>
          <w:sz w:val="30"/>
          <w:szCs w:val="30"/>
        </w:rPr>
        <w:t>與民訴第91條所定訴訟費用額之確定，其性質有何不同</w:t>
      </w:r>
      <w:r w:rsidR="00E14624" w:rsidRPr="001D551B">
        <w:rPr>
          <w:rFonts w:ascii="標楷體" w:eastAsia="標楷體" w:hAnsi="標楷體" w:hint="eastAsia"/>
          <w:color w:val="000000"/>
          <w:sz w:val="30"/>
          <w:szCs w:val="30"/>
        </w:rPr>
        <w:t>。</w:t>
      </w:r>
      <w:proofErr w:type="gramStart"/>
      <w:r w:rsidR="00CA51A5" w:rsidRPr="001D551B">
        <w:rPr>
          <w:rFonts w:ascii="標楷體" w:eastAsia="標楷體" w:hAnsi="標楷體" w:hint="eastAsia"/>
          <w:color w:val="000000"/>
          <w:sz w:val="30"/>
          <w:szCs w:val="30"/>
        </w:rPr>
        <w:t>逕</w:t>
      </w:r>
      <w:proofErr w:type="gramEnd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謂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當事人聲請法院以裁定為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訴訟費用之裁判，與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其聲請本院核定</w:t>
      </w:r>
      <w:proofErr w:type="gramStart"/>
      <w:r w:rsidR="00CA51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第三審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師之</w:t>
      </w:r>
      <w:proofErr w:type="gramEnd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酬金，</w:t>
      </w:r>
      <w:r w:rsidR="00CA51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「</w:t>
      </w:r>
      <w:proofErr w:type="gramStart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彼此間無先後</w:t>
      </w:r>
      <w:proofErr w:type="gramEnd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或相互依存之必然關係</w:t>
      </w:r>
      <w:r w:rsidR="00924EA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，准駁與否，自應各別論斷」</w:t>
      </w:r>
      <w:r w:rsidR="00CB6F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proofErr w:type="gramStart"/>
      <w:r w:rsidR="00CB6F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已乏推論</w:t>
      </w:r>
      <w:proofErr w:type="gramEnd"/>
      <w:r w:rsidR="00CB6F63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</w:t>
      </w:r>
      <w:r w:rsidR="00CA51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基礎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  <w:proofErr w:type="gramStart"/>
      <w:r w:rsidR="00CA51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況</w:t>
      </w:r>
      <w:proofErr w:type="gramEnd"/>
      <w:r w:rsidR="000F75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基</w:t>
      </w:r>
      <w:r w:rsidR="00CA51A5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此立論，</w:t>
      </w:r>
      <w:proofErr w:type="gramStart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當事人</w:t>
      </w:r>
      <w:r w:rsidR="005F579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既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於</w:t>
      </w:r>
      <w:r w:rsidR="00871952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聲</w:t>
      </w:r>
      <w:proofErr w:type="gramEnd"/>
      <w:r w:rsidR="00871952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請</w:t>
      </w:r>
      <w:r w:rsidR="005F579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法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院為訴訟費用之裁判前，即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得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聲請確定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第三審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律師酬金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r w:rsidR="0021013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甚且准駁</w:t>
      </w:r>
      <w:r w:rsidR="00871952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結果</w:t>
      </w:r>
      <w:r w:rsidR="0021013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互不影響，</w:t>
      </w:r>
      <w:r w:rsidR="008778C9">
        <w:rPr>
          <w:rFonts w:ascii="標楷體" w:eastAsia="標楷體" w:hAnsi="標楷體" w:hint="eastAsia"/>
          <w:bCs/>
          <w:color w:val="000000"/>
          <w:sz w:val="30"/>
          <w:szCs w:val="30"/>
        </w:rPr>
        <w:t>豈非視</w:t>
      </w:r>
      <w:r w:rsidR="005F579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民訴第90條</w:t>
      </w:r>
      <w:r w:rsidR="008778C9">
        <w:rPr>
          <w:rFonts w:ascii="標楷體" w:eastAsia="標楷體" w:hAnsi="標楷體" w:hint="eastAsia"/>
          <w:bCs/>
          <w:color w:val="000000"/>
          <w:sz w:val="30"/>
          <w:szCs w:val="30"/>
        </w:rPr>
        <w:t>之明文為無物</w:t>
      </w:r>
      <w:r w:rsidR="005F579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且應負擔訴訟費用之當事人，本不得請求他造賠償訴訟費用，</w:t>
      </w:r>
      <w:r w:rsidR="00871952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准其得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聲請</w:t>
      </w:r>
      <w:r w:rsidR="00BA2BB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本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院核定第三審律師酬金，</w:t>
      </w:r>
      <w:r w:rsidR="00210139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亦</w:t>
      </w:r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有</w:t>
      </w:r>
      <w:proofErr w:type="gramStart"/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違</w:t>
      </w:r>
      <w:proofErr w:type="gramEnd"/>
      <w:r w:rsidR="00FD6E70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手段不得逾越目的之必要性原則，難以苟同。</w:t>
      </w:r>
    </w:p>
    <w:p w:rsidR="001B13DD" w:rsidRPr="001D551B" w:rsidRDefault="0058229D" w:rsidP="008778C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又</w:t>
      </w:r>
      <w:r w:rsidR="00BF744E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多數意見</w:t>
      </w:r>
      <w:r w:rsidR="005001C6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以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「</w:t>
      </w:r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既無於一定期間內聲請</w:t>
      </w:r>
      <w:r w:rsidR="00F55207">
        <w:rPr>
          <w:rFonts w:ascii="標楷體" w:eastAsia="標楷體" w:hAnsi="標楷體" w:hint="eastAsia"/>
          <w:bCs/>
          <w:color w:val="000000"/>
          <w:sz w:val="30"/>
          <w:szCs w:val="30"/>
        </w:rPr>
        <w:t>本</w:t>
      </w:r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院核定律師酬金之明文，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人</w:t>
      </w:r>
      <w:proofErr w:type="gramStart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縱</w:t>
      </w:r>
      <w:proofErr w:type="gramEnd"/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遲誤民訴第90條第2項</w:t>
      </w:r>
      <w:r w:rsidR="00F55207">
        <w:rPr>
          <w:rFonts w:ascii="標楷體" w:eastAsia="標楷體" w:hAnsi="標楷體" w:hint="eastAsia"/>
          <w:bCs/>
          <w:color w:val="000000"/>
          <w:sz w:val="30"/>
          <w:szCs w:val="30"/>
        </w:rPr>
        <w:t>規定</w:t>
      </w:r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聲請</w:t>
      </w:r>
      <w:r w:rsidR="00BF744E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法院為訴訟費用裁判</w:t>
      </w:r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之20日不變</w:t>
      </w:r>
      <w:proofErr w:type="gramStart"/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期間</w:t>
      </w:r>
      <w:r w:rsidR="00BF744E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proofErr w:type="gramEnd"/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仍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不影響其得聲請本院核定其律師酬金</w:t>
      </w:r>
      <w:r w:rsidR="000F75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之權利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」</w:t>
      </w:r>
      <w:r w:rsidR="005001C6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為由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r w:rsidR="005001C6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作成裁定主文。</w:t>
      </w:r>
      <w:r w:rsidR="000F75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依此結論，恐</w:t>
      </w:r>
      <w:r w:rsidR="002B681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不免</w:t>
      </w:r>
      <w:r w:rsidR="000F75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發生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訴訟因撤回起訴、撤回上訴等不經裁判而終結，</w:t>
      </w:r>
      <w:r w:rsidR="00154D7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本案紛爭</w:t>
      </w:r>
      <w:r w:rsidR="002D5AA4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底定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歷時數年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>甚至數十年後，人事已非，卷</w:t>
      </w:r>
      <w:proofErr w:type="gramStart"/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證已</w:t>
      </w:r>
      <w:r w:rsidR="00006CA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滅</w:t>
      </w:r>
      <w:proofErr w:type="gramEnd"/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proofErr w:type="gramStart"/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當事人仍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聲請</w:t>
      </w:r>
      <w:proofErr w:type="gramEnd"/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本院核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定</w:t>
      </w:r>
      <w:r w:rsidR="00EA3D2E">
        <w:rPr>
          <w:rFonts w:ascii="標楷體" w:eastAsia="標楷體" w:hAnsi="標楷體" w:hint="eastAsia"/>
          <w:bCs/>
          <w:color w:val="000000"/>
          <w:sz w:val="30"/>
          <w:szCs w:val="30"/>
        </w:rPr>
        <w:t>其</w:t>
      </w:r>
      <w:r w:rsidR="000571FB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第三審律師酬金</w:t>
      </w:r>
      <w:r w:rsidR="00EA3D2E">
        <w:rPr>
          <w:rFonts w:ascii="標楷體" w:eastAsia="標楷體" w:hAnsi="標楷體" w:hint="eastAsia"/>
          <w:bCs/>
          <w:color w:val="000000"/>
          <w:sz w:val="30"/>
          <w:szCs w:val="30"/>
        </w:rPr>
        <w:t>之情事</w:t>
      </w:r>
      <w:r w:rsidR="007C4717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，</w:t>
      </w:r>
      <w:r w:rsidR="009167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顯然</w:t>
      </w:r>
      <w:r w:rsidR="002B681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本末倒置，</w:t>
      </w:r>
      <w:r w:rsidR="000F75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且</w:t>
      </w:r>
      <w:r w:rsidR="002B681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有</w:t>
      </w:r>
      <w:r w:rsidR="00006CA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礙法秩序</w:t>
      </w:r>
      <w:r w:rsidR="000F756A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之</w:t>
      </w:r>
      <w:r w:rsidR="00006CA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安定</w:t>
      </w:r>
      <w:r w:rsidR="001B13DD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</w:p>
    <w:p w:rsidR="005001C6" w:rsidRPr="001D551B" w:rsidRDefault="005001C6" w:rsidP="00111506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上訴人對第二審判決提起上訴，於本院裁判前，撤回第三審上訴，被上訴人在此之前已委任律師為訴訟代理人為其答辯而支出之酬金，固屬民訴第466條之3第1項所稱之第三審律師酬金，惟被上訴人未依同法第90條規定於不變期間內聲請本院為訴訟費用之裁判，依上說明，</w:t>
      </w:r>
      <w:proofErr w:type="gramStart"/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已生失權</w:t>
      </w:r>
      <w:proofErr w:type="gramEnd"/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效果，其聲請本院核定第三審律師酬金，欠缺權利保護之要件，自不應准許。</w:t>
      </w:r>
      <w:proofErr w:type="gramStart"/>
      <w:r w:rsidR="00650416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>爰</w:t>
      </w:r>
      <w:proofErr w:type="gramEnd"/>
      <w:r w:rsidR="00650416" w:rsidRPr="001D551B">
        <w:rPr>
          <w:rFonts w:ascii="標楷體" w:eastAsia="標楷體" w:hAnsi="標楷體" w:cs="Helvetica"/>
          <w:color w:val="000000"/>
          <w:sz w:val="30"/>
          <w:szCs w:val="30"/>
        </w:rPr>
        <w:t>為此不同意見書。</w:t>
      </w:r>
    </w:p>
    <w:p w:rsidR="005001C6" w:rsidRPr="001D551B" w:rsidRDefault="005001C6" w:rsidP="001B13DD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p w:rsidR="001B13DD" w:rsidRPr="001D551B" w:rsidRDefault="001B13DD" w:rsidP="001079B6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p w:rsidR="001079B6" w:rsidRPr="001D551B" w:rsidRDefault="001079B6" w:rsidP="00CD4B9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p w:rsidR="001079B6" w:rsidRPr="001D551B" w:rsidRDefault="001079B6" w:rsidP="00CD4B9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p w:rsidR="008A2CC1" w:rsidRPr="001D551B" w:rsidRDefault="008A2CC1" w:rsidP="00D2366E">
      <w:pPr>
        <w:spacing w:line="620" w:lineRule="exact"/>
        <w:ind w:firstLineChars="400" w:firstLine="12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               </w:t>
      </w:r>
    </w:p>
    <w:p w:rsidR="00290189" w:rsidRPr="001D551B" w:rsidRDefault="00290189" w:rsidP="00CD4B99">
      <w:pPr>
        <w:spacing w:line="620" w:lineRule="exact"/>
        <w:ind w:firstLineChars="200" w:firstLine="600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sectPr w:rsidR="00290189" w:rsidRPr="001D551B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2BB" w:rsidRDefault="006822BB" w:rsidP="003A6082">
      <w:r>
        <w:separator/>
      </w:r>
    </w:p>
  </w:endnote>
  <w:endnote w:type="continuationSeparator" w:id="0">
    <w:p w:rsidR="006822BB" w:rsidRDefault="006822BB" w:rsidP="003A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7638312"/>
      <w:docPartObj>
        <w:docPartGallery w:val="Page Numbers (Bottom of Page)"/>
        <w:docPartUnique/>
      </w:docPartObj>
    </w:sdtPr>
    <w:sdtEndPr/>
    <w:sdtContent>
      <w:p w:rsidR="00975284" w:rsidRDefault="0097528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0E9" w:rsidRPr="006D50E9">
          <w:rPr>
            <w:noProof/>
            <w:lang w:val="zh-TW"/>
          </w:rPr>
          <w:t>1</w:t>
        </w:r>
        <w:r>
          <w:fldChar w:fldCharType="end"/>
        </w:r>
      </w:p>
    </w:sdtContent>
  </w:sdt>
  <w:p w:rsidR="00975284" w:rsidRDefault="0097528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2BB" w:rsidRDefault="006822BB" w:rsidP="003A6082">
      <w:r>
        <w:separator/>
      </w:r>
    </w:p>
  </w:footnote>
  <w:footnote w:type="continuationSeparator" w:id="0">
    <w:p w:rsidR="006822BB" w:rsidRDefault="006822BB" w:rsidP="003A6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9738E"/>
    <w:multiLevelType w:val="hybridMultilevel"/>
    <w:tmpl w:val="ECC865CC"/>
    <w:lvl w:ilvl="0" w:tplc="00BECE20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A55625C"/>
    <w:multiLevelType w:val="hybridMultilevel"/>
    <w:tmpl w:val="4A9E1B1A"/>
    <w:lvl w:ilvl="0" w:tplc="1158B4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2E692151"/>
    <w:multiLevelType w:val="hybridMultilevel"/>
    <w:tmpl w:val="E3C8F2F6"/>
    <w:lvl w:ilvl="0" w:tplc="BAC6F4FA">
      <w:start w:val="1"/>
      <w:numFmt w:val="decimal"/>
      <w:lvlText w:val="(%1)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4" w:hanging="480"/>
      </w:pPr>
    </w:lvl>
    <w:lvl w:ilvl="2" w:tplc="0409001B" w:tentative="1">
      <w:start w:val="1"/>
      <w:numFmt w:val="lowerRoman"/>
      <w:lvlText w:val="%3."/>
      <w:lvlJc w:val="right"/>
      <w:pPr>
        <w:ind w:left="9804" w:hanging="480"/>
      </w:pPr>
    </w:lvl>
    <w:lvl w:ilvl="3" w:tplc="0409000F" w:tentative="1">
      <w:start w:val="1"/>
      <w:numFmt w:val="decimal"/>
      <w:lvlText w:val="%4."/>
      <w:lvlJc w:val="left"/>
      <w:pPr>
        <w:ind w:left="10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764" w:hanging="480"/>
      </w:pPr>
    </w:lvl>
    <w:lvl w:ilvl="5" w:tplc="0409001B" w:tentative="1">
      <w:start w:val="1"/>
      <w:numFmt w:val="lowerRoman"/>
      <w:lvlText w:val="%6."/>
      <w:lvlJc w:val="right"/>
      <w:pPr>
        <w:ind w:left="11244" w:hanging="480"/>
      </w:pPr>
    </w:lvl>
    <w:lvl w:ilvl="6" w:tplc="0409000F" w:tentative="1">
      <w:start w:val="1"/>
      <w:numFmt w:val="decimal"/>
      <w:lvlText w:val="%7."/>
      <w:lvlJc w:val="left"/>
      <w:pPr>
        <w:ind w:left="11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204" w:hanging="480"/>
      </w:pPr>
    </w:lvl>
    <w:lvl w:ilvl="8" w:tplc="0409001B" w:tentative="1">
      <w:start w:val="1"/>
      <w:numFmt w:val="lowerRoman"/>
      <w:lvlText w:val="%9."/>
      <w:lvlJc w:val="right"/>
      <w:pPr>
        <w:ind w:left="12684" w:hanging="480"/>
      </w:pPr>
    </w:lvl>
  </w:abstractNum>
  <w:abstractNum w:abstractNumId="3" w15:restartNumberingAfterBreak="0">
    <w:nsid w:val="3A120E1B"/>
    <w:multiLevelType w:val="hybridMultilevel"/>
    <w:tmpl w:val="470A9F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AA0A694">
      <w:start w:val="1"/>
      <w:numFmt w:val="ideographLegalTraditional"/>
      <w:lvlText w:val="%2、"/>
      <w:lvlJc w:val="left"/>
      <w:pPr>
        <w:ind w:left="4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BF77D0"/>
    <w:multiLevelType w:val="hybridMultilevel"/>
    <w:tmpl w:val="085AA368"/>
    <w:lvl w:ilvl="0" w:tplc="90F8EA8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BC2D1A"/>
    <w:multiLevelType w:val="hybridMultilevel"/>
    <w:tmpl w:val="4D66C7B4"/>
    <w:lvl w:ilvl="0" w:tplc="1158B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046A45"/>
    <w:multiLevelType w:val="hybridMultilevel"/>
    <w:tmpl w:val="BAA613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9B26B7"/>
    <w:multiLevelType w:val="hybridMultilevel"/>
    <w:tmpl w:val="F3D86E50"/>
    <w:lvl w:ilvl="0" w:tplc="2E9C6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F35602"/>
    <w:multiLevelType w:val="hybridMultilevel"/>
    <w:tmpl w:val="0FDCE0F0"/>
    <w:lvl w:ilvl="0" w:tplc="54F6B5F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25164F"/>
    <w:multiLevelType w:val="hybridMultilevel"/>
    <w:tmpl w:val="1DC69F14"/>
    <w:lvl w:ilvl="0" w:tplc="EB803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23615D"/>
    <w:multiLevelType w:val="hybridMultilevel"/>
    <w:tmpl w:val="9ADA32FC"/>
    <w:lvl w:ilvl="0" w:tplc="50FA0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58201A"/>
    <w:multiLevelType w:val="hybridMultilevel"/>
    <w:tmpl w:val="87181130"/>
    <w:lvl w:ilvl="0" w:tplc="DE922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9C45F1"/>
    <w:multiLevelType w:val="hybridMultilevel"/>
    <w:tmpl w:val="405A3CBC"/>
    <w:lvl w:ilvl="0" w:tplc="8D2C3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AD446E"/>
    <w:multiLevelType w:val="hybridMultilevel"/>
    <w:tmpl w:val="8C88D784"/>
    <w:lvl w:ilvl="0" w:tplc="AC92E3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D231D2"/>
    <w:multiLevelType w:val="hybridMultilevel"/>
    <w:tmpl w:val="35EC0C84"/>
    <w:lvl w:ilvl="0" w:tplc="3ADEC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F0E66A9"/>
    <w:multiLevelType w:val="hybridMultilevel"/>
    <w:tmpl w:val="B1C08B9A"/>
    <w:lvl w:ilvl="0" w:tplc="2BB2C40C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0"/>
  </w:num>
  <w:num w:numId="5">
    <w:abstractNumId w:val="14"/>
  </w:num>
  <w:num w:numId="6">
    <w:abstractNumId w:val="2"/>
  </w:num>
  <w:num w:numId="7">
    <w:abstractNumId w:val="3"/>
  </w:num>
  <w:num w:numId="8">
    <w:abstractNumId w:val="11"/>
  </w:num>
  <w:num w:numId="9">
    <w:abstractNumId w:val="6"/>
  </w:num>
  <w:num w:numId="10">
    <w:abstractNumId w:val="15"/>
  </w:num>
  <w:num w:numId="11">
    <w:abstractNumId w:val="9"/>
  </w:num>
  <w:num w:numId="12">
    <w:abstractNumId w:val="4"/>
  </w:num>
  <w:num w:numId="13">
    <w:abstractNumId w:val="8"/>
  </w:num>
  <w:num w:numId="14">
    <w:abstractNumId w:val="1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82"/>
    <w:rsid w:val="00005D07"/>
    <w:rsid w:val="00006CAD"/>
    <w:rsid w:val="00021221"/>
    <w:rsid w:val="00025575"/>
    <w:rsid w:val="000310EA"/>
    <w:rsid w:val="00037900"/>
    <w:rsid w:val="00040B0F"/>
    <w:rsid w:val="00041451"/>
    <w:rsid w:val="000452B7"/>
    <w:rsid w:val="00056D43"/>
    <w:rsid w:val="000571FB"/>
    <w:rsid w:val="00061F72"/>
    <w:rsid w:val="00065D27"/>
    <w:rsid w:val="000669CD"/>
    <w:rsid w:val="00082252"/>
    <w:rsid w:val="000831F7"/>
    <w:rsid w:val="000959D7"/>
    <w:rsid w:val="000A1488"/>
    <w:rsid w:val="000B168E"/>
    <w:rsid w:val="000B4444"/>
    <w:rsid w:val="000C0F61"/>
    <w:rsid w:val="000D044E"/>
    <w:rsid w:val="000D4261"/>
    <w:rsid w:val="000D7C10"/>
    <w:rsid w:val="000E6B59"/>
    <w:rsid w:val="000F0173"/>
    <w:rsid w:val="000F45AC"/>
    <w:rsid w:val="000F6671"/>
    <w:rsid w:val="000F756A"/>
    <w:rsid w:val="001079B6"/>
    <w:rsid w:val="00111506"/>
    <w:rsid w:val="00116DFB"/>
    <w:rsid w:val="001237B2"/>
    <w:rsid w:val="00134A91"/>
    <w:rsid w:val="00137A2D"/>
    <w:rsid w:val="0014058D"/>
    <w:rsid w:val="00144E86"/>
    <w:rsid w:val="00154D7B"/>
    <w:rsid w:val="00160077"/>
    <w:rsid w:val="001604D8"/>
    <w:rsid w:val="00160F4A"/>
    <w:rsid w:val="00161629"/>
    <w:rsid w:val="0016488C"/>
    <w:rsid w:val="00190289"/>
    <w:rsid w:val="0019730F"/>
    <w:rsid w:val="001A0597"/>
    <w:rsid w:val="001B13DD"/>
    <w:rsid w:val="001B3CB7"/>
    <w:rsid w:val="001C213B"/>
    <w:rsid w:val="001C2AFD"/>
    <w:rsid w:val="001C4979"/>
    <w:rsid w:val="001C7BE8"/>
    <w:rsid w:val="001D4875"/>
    <w:rsid w:val="001D551B"/>
    <w:rsid w:val="001D5747"/>
    <w:rsid w:val="001E2268"/>
    <w:rsid w:val="001E2730"/>
    <w:rsid w:val="00200645"/>
    <w:rsid w:val="002015A5"/>
    <w:rsid w:val="00204A92"/>
    <w:rsid w:val="002063EF"/>
    <w:rsid w:val="002068C2"/>
    <w:rsid w:val="002075F1"/>
    <w:rsid w:val="00210139"/>
    <w:rsid w:val="0021587F"/>
    <w:rsid w:val="00227451"/>
    <w:rsid w:val="00234FE6"/>
    <w:rsid w:val="00252DB4"/>
    <w:rsid w:val="00267D80"/>
    <w:rsid w:val="00267EF5"/>
    <w:rsid w:val="00274494"/>
    <w:rsid w:val="00282824"/>
    <w:rsid w:val="002839A2"/>
    <w:rsid w:val="00290189"/>
    <w:rsid w:val="00293333"/>
    <w:rsid w:val="0029381B"/>
    <w:rsid w:val="00293AFA"/>
    <w:rsid w:val="002B249B"/>
    <w:rsid w:val="002B2EE7"/>
    <w:rsid w:val="002B3D11"/>
    <w:rsid w:val="002B5917"/>
    <w:rsid w:val="002B681A"/>
    <w:rsid w:val="002D281F"/>
    <w:rsid w:val="002D597B"/>
    <w:rsid w:val="002D5AA4"/>
    <w:rsid w:val="002D5B5E"/>
    <w:rsid w:val="002E2CB5"/>
    <w:rsid w:val="002E4446"/>
    <w:rsid w:val="002E5F35"/>
    <w:rsid w:val="002F0488"/>
    <w:rsid w:val="002F0D67"/>
    <w:rsid w:val="002F6433"/>
    <w:rsid w:val="00301629"/>
    <w:rsid w:val="003066A9"/>
    <w:rsid w:val="00310679"/>
    <w:rsid w:val="003110FB"/>
    <w:rsid w:val="003238E6"/>
    <w:rsid w:val="00327107"/>
    <w:rsid w:val="003309A9"/>
    <w:rsid w:val="00340118"/>
    <w:rsid w:val="003521F0"/>
    <w:rsid w:val="00354172"/>
    <w:rsid w:val="003601CB"/>
    <w:rsid w:val="003776AD"/>
    <w:rsid w:val="0038504F"/>
    <w:rsid w:val="003855FA"/>
    <w:rsid w:val="003877A1"/>
    <w:rsid w:val="00387FD1"/>
    <w:rsid w:val="003A1533"/>
    <w:rsid w:val="003A6082"/>
    <w:rsid w:val="003D0D66"/>
    <w:rsid w:val="003D18B9"/>
    <w:rsid w:val="003D63B5"/>
    <w:rsid w:val="003F3751"/>
    <w:rsid w:val="003F5D2A"/>
    <w:rsid w:val="003F653C"/>
    <w:rsid w:val="003F753D"/>
    <w:rsid w:val="004011B6"/>
    <w:rsid w:val="00401267"/>
    <w:rsid w:val="00411ECC"/>
    <w:rsid w:val="004345B8"/>
    <w:rsid w:val="004364BB"/>
    <w:rsid w:val="00451140"/>
    <w:rsid w:val="00451CF8"/>
    <w:rsid w:val="00457F07"/>
    <w:rsid w:val="00461671"/>
    <w:rsid w:val="004658D8"/>
    <w:rsid w:val="004750A8"/>
    <w:rsid w:val="0048297A"/>
    <w:rsid w:val="00491AF7"/>
    <w:rsid w:val="00494007"/>
    <w:rsid w:val="004B4C75"/>
    <w:rsid w:val="004B7B6E"/>
    <w:rsid w:val="004E23E7"/>
    <w:rsid w:val="004E3A98"/>
    <w:rsid w:val="004E4044"/>
    <w:rsid w:val="004E792C"/>
    <w:rsid w:val="004F177D"/>
    <w:rsid w:val="005001C6"/>
    <w:rsid w:val="0050498E"/>
    <w:rsid w:val="005071B5"/>
    <w:rsid w:val="0050758B"/>
    <w:rsid w:val="00513994"/>
    <w:rsid w:val="00516BD9"/>
    <w:rsid w:val="0053441B"/>
    <w:rsid w:val="0055277E"/>
    <w:rsid w:val="00554DD8"/>
    <w:rsid w:val="00557675"/>
    <w:rsid w:val="005621EF"/>
    <w:rsid w:val="005627A5"/>
    <w:rsid w:val="00562C6F"/>
    <w:rsid w:val="0057045B"/>
    <w:rsid w:val="00572BEF"/>
    <w:rsid w:val="005751CA"/>
    <w:rsid w:val="00582296"/>
    <w:rsid w:val="0058229D"/>
    <w:rsid w:val="005844A8"/>
    <w:rsid w:val="005966CD"/>
    <w:rsid w:val="005A1A52"/>
    <w:rsid w:val="005B0DB8"/>
    <w:rsid w:val="005B49DB"/>
    <w:rsid w:val="005B72E6"/>
    <w:rsid w:val="005C2651"/>
    <w:rsid w:val="005C4D39"/>
    <w:rsid w:val="005C6E98"/>
    <w:rsid w:val="005D10A5"/>
    <w:rsid w:val="005E4AA6"/>
    <w:rsid w:val="005E677D"/>
    <w:rsid w:val="005E76E9"/>
    <w:rsid w:val="005F0710"/>
    <w:rsid w:val="005F5799"/>
    <w:rsid w:val="005F762B"/>
    <w:rsid w:val="00601323"/>
    <w:rsid w:val="00614B02"/>
    <w:rsid w:val="00616983"/>
    <w:rsid w:val="00622EF9"/>
    <w:rsid w:val="00627A84"/>
    <w:rsid w:val="00627BD7"/>
    <w:rsid w:val="0063475E"/>
    <w:rsid w:val="00635E71"/>
    <w:rsid w:val="006375AF"/>
    <w:rsid w:val="006407CF"/>
    <w:rsid w:val="00641770"/>
    <w:rsid w:val="006446A5"/>
    <w:rsid w:val="0064707D"/>
    <w:rsid w:val="00650416"/>
    <w:rsid w:val="00653449"/>
    <w:rsid w:val="00653C1D"/>
    <w:rsid w:val="00663A71"/>
    <w:rsid w:val="0067328B"/>
    <w:rsid w:val="0067358C"/>
    <w:rsid w:val="00674138"/>
    <w:rsid w:val="006822BB"/>
    <w:rsid w:val="0068556F"/>
    <w:rsid w:val="00690CB2"/>
    <w:rsid w:val="00691F96"/>
    <w:rsid w:val="0069569D"/>
    <w:rsid w:val="006A0603"/>
    <w:rsid w:val="006A5CA0"/>
    <w:rsid w:val="006B284C"/>
    <w:rsid w:val="006D50E9"/>
    <w:rsid w:val="00706AF8"/>
    <w:rsid w:val="00710D78"/>
    <w:rsid w:val="007217D0"/>
    <w:rsid w:val="00725932"/>
    <w:rsid w:val="00764A0E"/>
    <w:rsid w:val="0076576D"/>
    <w:rsid w:val="007712C9"/>
    <w:rsid w:val="00771562"/>
    <w:rsid w:val="00771B57"/>
    <w:rsid w:val="00785AE2"/>
    <w:rsid w:val="0079290F"/>
    <w:rsid w:val="007A01A9"/>
    <w:rsid w:val="007A3E06"/>
    <w:rsid w:val="007A4576"/>
    <w:rsid w:val="007A467F"/>
    <w:rsid w:val="007A4A69"/>
    <w:rsid w:val="007A687A"/>
    <w:rsid w:val="007A6C6F"/>
    <w:rsid w:val="007B1747"/>
    <w:rsid w:val="007B6390"/>
    <w:rsid w:val="007B6683"/>
    <w:rsid w:val="007C4717"/>
    <w:rsid w:val="007C55F8"/>
    <w:rsid w:val="007C6567"/>
    <w:rsid w:val="007E4527"/>
    <w:rsid w:val="007E50C5"/>
    <w:rsid w:val="008207D1"/>
    <w:rsid w:val="00832255"/>
    <w:rsid w:val="00832A87"/>
    <w:rsid w:val="008335BC"/>
    <w:rsid w:val="00834476"/>
    <w:rsid w:val="00842AE2"/>
    <w:rsid w:val="0084374E"/>
    <w:rsid w:val="008454D5"/>
    <w:rsid w:val="00860E70"/>
    <w:rsid w:val="008626DF"/>
    <w:rsid w:val="008714B2"/>
    <w:rsid w:val="00871952"/>
    <w:rsid w:val="008778C9"/>
    <w:rsid w:val="00895C9B"/>
    <w:rsid w:val="00896070"/>
    <w:rsid w:val="008A2CC1"/>
    <w:rsid w:val="008A2DCC"/>
    <w:rsid w:val="008A4C3B"/>
    <w:rsid w:val="008A5A61"/>
    <w:rsid w:val="008B0258"/>
    <w:rsid w:val="008F0DDF"/>
    <w:rsid w:val="008F3BE1"/>
    <w:rsid w:val="008F3DFA"/>
    <w:rsid w:val="008F79FB"/>
    <w:rsid w:val="00902280"/>
    <w:rsid w:val="00902A76"/>
    <w:rsid w:val="00903F6D"/>
    <w:rsid w:val="00907CB9"/>
    <w:rsid w:val="00910C17"/>
    <w:rsid w:val="009140AD"/>
    <w:rsid w:val="00915210"/>
    <w:rsid w:val="0091676A"/>
    <w:rsid w:val="00917D88"/>
    <w:rsid w:val="00924EAF"/>
    <w:rsid w:val="00930363"/>
    <w:rsid w:val="0094025E"/>
    <w:rsid w:val="009439F0"/>
    <w:rsid w:val="009600FC"/>
    <w:rsid w:val="0097024A"/>
    <w:rsid w:val="0097055A"/>
    <w:rsid w:val="00971BC4"/>
    <w:rsid w:val="00975284"/>
    <w:rsid w:val="00977060"/>
    <w:rsid w:val="00981DDD"/>
    <w:rsid w:val="00982BCC"/>
    <w:rsid w:val="00992880"/>
    <w:rsid w:val="00993589"/>
    <w:rsid w:val="009A18F1"/>
    <w:rsid w:val="009A3408"/>
    <w:rsid w:val="009B6BCB"/>
    <w:rsid w:val="009C23E5"/>
    <w:rsid w:val="009D5ADD"/>
    <w:rsid w:val="009E3018"/>
    <w:rsid w:val="009E3F1E"/>
    <w:rsid w:val="009E4744"/>
    <w:rsid w:val="009F309D"/>
    <w:rsid w:val="00A0119B"/>
    <w:rsid w:val="00A02ACE"/>
    <w:rsid w:val="00A0597D"/>
    <w:rsid w:val="00A075A7"/>
    <w:rsid w:val="00A175E9"/>
    <w:rsid w:val="00A20127"/>
    <w:rsid w:val="00A3442B"/>
    <w:rsid w:val="00A41B45"/>
    <w:rsid w:val="00A43B1F"/>
    <w:rsid w:val="00A5073D"/>
    <w:rsid w:val="00A51F1A"/>
    <w:rsid w:val="00A640C2"/>
    <w:rsid w:val="00A81E49"/>
    <w:rsid w:val="00A82E47"/>
    <w:rsid w:val="00A83855"/>
    <w:rsid w:val="00A9433D"/>
    <w:rsid w:val="00A96EB7"/>
    <w:rsid w:val="00AA15DB"/>
    <w:rsid w:val="00AC1E9B"/>
    <w:rsid w:val="00AC466B"/>
    <w:rsid w:val="00AD0448"/>
    <w:rsid w:val="00AE2987"/>
    <w:rsid w:val="00AE4898"/>
    <w:rsid w:val="00B03DF0"/>
    <w:rsid w:val="00B23FA1"/>
    <w:rsid w:val="00B43909"/>
    <w:rsid w:val="00B47EA8"/>
    <w:rsid w:val="00B6312A"/>
    <w:rsid w:val="00B63644"/>
    <w:rsid w:val="00B67502"/>
    <w:rsid w:val="00B741DC"/>
    <w:rsid w:val="00B75303"/>
    <w:rsid w:val="00B81B51"/>
    <w:rsid w:val="00B83AF2"/>
    <w:rsid w:val="00B92CCB"/>
    <w:rsid w:val="00BA2016"/>
    <w:rsid w:val="00BA2BB4"/>
    <w:rsid w:val="00BA4F41"/>
    <w:rsid w:val="00BA7CDF"/>
    <w:rsid w:val="00BC5A34"/>
    <w:rsid w:val="00BD14A4"/>
    <w:rsid w:val="00BE0197"/>
    <w:rsid w:val="00BE202A"/>
    <w:rsid w:val="00BF67A5"/>
    <w:rsid w:val="00BF744E"/>
    <w:rsid w:val="00C055ED"/>
    <w:rsid w:val="00C21AD0"/>
    <w:rsid w:val="00C22F7A"/>
    <w:rsid w:val="00C24661"/>
    <w:rsid w:val="00C24927"/>
    <w:rsid w:val="00C4062F"/>
    <w:rsid w:val="00C415F8"/>
    <w:rsid w:val="00C51B2B"/>
    <w:rsid w:val="00C51BA1"/>
    <w:rsid w:val="00C53701"/>
    <w:rsid w:val="00C63990"/>
    <w:rsid w:val="00C7694B"/>
    <w:rsid w:val="00C9637B"/>
    <w:rsid w:val="00C963E0"/>
    <w:rsid w:val="00CA51A5"/>
    <w:rsid w:val="00CB1464"/>
    <w:rsid w:val="00CB2097"/>
    <w:rsid w:val="00CB6F63"/>
    <w:rsid w:val="00CC3E49"/>
    <w:rsid w:val="00CD4B99"/>
    <w:rsid w:val="00CF180C"/>
    <w:rsid w:val="00CF424D"/>
    <w:rsid w:val="00D2366E"/>
    <w:rsid w:val="00D46DA2"/>
    <w:rsid w:val="00D51AE3"/>
    <w:rsid w:val="00D80F4B"/>
    <w:rsid w:val="00D85BF1"/>
    <w:rsid w:val="00D86746"/>
    <w:rsid w:val="00D87EF7"/>
    <w:rsid w:val="00D90F1D"/>
    <w:rsid w:val="00DB11F5"/>
    <w:rsid w:val="00DB5939"/>
    <w:rsid w:val="00DC6C09"/>
    <w:rsid w:val="00DD170F"/>
    <w:rsid w:val="00DD33F1"/>
    <w:rsid w:val="00DF6B99"/>
    <w:rsid w:val="00E0127D"/>
    <w:rsid w:val="00E07D79"/>
    <w:rsid w:val="00E1147B"/>
    <w:rsid w:val="00E11A12"/>
    <w:rsid w:val="00E1208B"/>
    <w:rsid w:val="00E14624"/>
    <w:rsid w:val="00E20F84"/>
    <w:rsid w:val="00E25598"/>
    <w:rsid w:val="00E26736"/>
    <w:rsid w:val="00E45854"/>
    <w:rsid w:val="00E67176"/>
    <w:rsid w:val="00E80223"/>
    <w:rsid w:val="00E82721"/>
    <w:rsid w:val="00E84CA5"/>
    <w:rsid w:val="00EA3D2E"/>
    <w:rsid w:val="00EB4141"/>
    <w:rsid w:val="00EC729A"/>
    <w:rsid w:val="00ED0F5B"/>
    <w:rsid w:val="00ED6CE9"/>
    <w:rsid w:val="00F11B44"/>
    <w:rsid w:val="00F1772E"/>
    <w:rsid w:val="00F42A0A"/>
    <w:rsid w:val="00F438A7"/>
    <w:rsid w:val="00F55207"/>
    <w:rsid w:val="00F60BD3"/>
    <w:rsid w:val="00F646D6"/>
    <w:rsid w:val="00F67466"/>
    <w:rsid w:val="00F722F5"/>
    <w:rsid w:val="00F72BF8"/>
    <w:rsid w:val="00F778B9"/>
    <w:rsid w:val="00F83F53"/>
    <w:rsid w:val="00F90F8B"/>
    <w:rsid w:val="00FA4067"/>
    <w:rsid w:val="00FB6273"/>
    <w:rsid w:val="00FB773F"/>
    <w:rsid w:val="00FC14E0"/>
    <w:rsid w:val="00FD1615"/>
    <w:rsid w:val="00FD32BE"/>
    <w:rsid w:val="00FD3E35"/>
    <w:rsid w:val="00FD41A6"/>
    <w:rsid w:val="00FD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1359CF"/>
  <w15:chartTrackingRefBased/>
  <w15:docId w15:val="{39CA71C6-97D1-4E68-9461-D487BF00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1B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071B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71B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71B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71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71B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71B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71B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71B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71B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1B5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3A6082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rsid w:val="003A608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A6082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673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7358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73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7358C"/>
    <w:rPr>
      <w:sz w:val="20"/>
      <w:szCs w:val="20"/>
    </w:rPr>
  </w:style>
  <w:style w:type="character" w:styleId="ab">
    <w:name w:val="Hyperlink"/>
    <w:basedOn w:val="a0"/>
    <w:uiPriority w:val="99"/>
    <w:unhideWhenUsed/>
    <w:rsid w:val="00981DDD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F30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/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semiHidden/>
    <w:rsid w:val="009F309D"/>
    <w:rPr>
      <w:rFonts w:ascii="細明體" w:eastAsia="細明體" w:hAnsi="細明體" w:cs="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60B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F60BD3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5071B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5071B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5071B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5071B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071B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5071B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5071B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5071B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5071B5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5071B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標題 字元"/>
    <w:basedOn w:val="a0"/>
    <w:link w:val="ae"/>
    <w:uiPriority w:val="10"/>
    <w:rsid w:val="005071B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5071B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副標題 字元"/>
    <w:basedOn w:val="a0"/>
    <w:link w:val="af0"/>
    <w:uiPriority w:val="11"/>
    <w:rsid w:val="005071B5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5071B5"/>
    <w:rPr>
      <w:b/>
      <w:bCs/>
    </w:rPr>
  </w:style>
  <w:style w:type="character" w:styleId="af3">
    <w:name w:val="Emphasis"/>
    <w:basedOn w:val="a0"/>
    <w:uiPriority w:val="20"/>
    <w:qFormat/>
    <w:rsid w:val="005071B5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5071B5"/>
    <w:rPr>
      <w:szCs w:val="32"/>
    </w:rPr>
  </w:style>
  <w:style w:type="paragraph" w:styleId="af5">
    <w:name w:val="Quote"/>
    <w:basedOn w:val="a"/>
    <w:next w:val="a"/>
    <w:link w:val="af6"/>
    <w:uiPriority w:val="29"/>
    <w:qFormat/>
    <w:rsid w:val="005071B5"/>
    <w:rPr>
      <w:i/>
    </w:rPr>
  </w:style>
  <w:style w:type="character" w:customStyle="1" w:styleId="af6">
    <w:name w:val="引文 字元"/>
    <w:basedOn w:val="a0"/>
    <w:link w:val="af5"/>
    <w:uiPriority w:val="29"/>
    <w:rsid w:val="005071B5"/>
    <w:rPr>
      <w:i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5071B5"/>
    <w:pPr>
      <w:ind w:left="720" w:right="720"/>
    </w:pPr>
    <w:rPr>
      <w:b/>
      <w:i/>
      <w:szCs w:val="22"/>
    </w:rPr>
  </w:style>
  <w:style w:type="character" w:customStyle="1" w:styleId="af8">
    <w:name w:val="鮮明引文 字元"/>
    <w:basedOn w:val="a0"/>
    <w:link w:val="af7"/>
    <w:uiPriority w:val="30"/>
    <w:rsid w:val="005071B5"/>
    <w:rPr>
      <w:b/>
      <w:i/>
      <w:sz w:val="24"/>
    </w:rPr>
  </w:style>
  <w:style w:type="character" w:styleId="af9">
    <w:name w:val="Subtle Emphasis"/>
    <w:uiPriority w:val="19"/>
    <w:qFormat/>
    <w:rsid w:val="005071B5"/>
    <w:rPr>
      <w:i/>
      <w:color w:val="5A5A5A" w:themeColor="text1" w:themeTint="A5"/>
    </w:rPr>
  </w:style>
  <w:style w:type="character" w:styleId="afa">
    <w:name w:val="Intense Emphasis"/>
    <w:basedOn w:val="a0"/>
    <w:uiPriority w:val="21"/>
    <w:qFormat/>
    <w:rsid w:val="005071B5"/>
    <w:rPr>
      <w:b/>
      <w:i/>
      <w:sz w:val="24"/>
      <w:szCs w:val="24"/>
      <w:u w:val="single"/>
    </w:rPr>
  </w:style>
  <w:style w:type="character" w:styleId="afb">
    <w:name w:val="Subtle Reference"/>
    <w:basedOn w:val="a0"/>
    <w:uiPriority w:val="31"/>
    <w:qFormat/>
    <w:rsid w:val="005071B5"/>
    <w:rPr>
      <w:sz w:val="24"/>
      <w:szCs w:val="24"/>
      <w:u w:val="single"/>
    </w:rPr>
  </w:style>
  <w:style w:type="character" w:styleId="afc">
    <w:name w:val="Intense Reference"/>
    <w:basedOn w:val="a0"/>
    <w:uiPriority w:val="32"/>
    <w:qFormat/>
    <w:rsid w:val="005071B5"/>
    <w:rPr>
      <w:b/>
      <w:sz w:val="24"/>
      <w:u w:val="single"/>
    </w:rPr>
  </w:style>
  <w:style w:type="character" w:styleId="afd">
    <w:name w:val="Book Title"/>
    <w:basedOn w:val="a0"/>
    <w:uiPriority w:val="33"/>
    <w:qFormat/>
    <w:rsid w:val="005071B5"/>
    <w:rPr>
      <w:rFonts w:asciiTheme="majorHAnsi" w:eastAsiaTheme="majorEastAsia" w:hAnsiTheme="majorHAnsi"/>
      <w:b/>
      <w:i/>
      <w:sz w:val="24"/>
      <w:szCs w:val="24"/>
    </w:rPr>
  </w:style>
  <w:style w:type="paragraph" w:styleId="afe">
    <w:name w:val="TOC Heading"/>
    <w:basedOn w:val="1"/>
    <w:next w:val="a"/>
    <w:uiPriority w:val="39"/>
    <w:semiHidden/>
    <w:unhideWhenUsed/>
    <w:qFormat/>
    <w:rsid w:val="005071B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1069">
              <w:marLeft w:val="0"/>
              <w:marRight w:val="0"/>
              <w:marTop w:val="0"/>
              <w:marBottom w:val="240"/>
              <w:divBdr>
                <w:top w:val="single" w:sz="6" w:space="18" w:color="CCD3DF"/>
                <w:left w:val="single" w:sz="6" w:space="18" w:color="CCD3DF"/>
                <w:bottom w:val="single" w:sz="6" w:space="18" w:color="CCD3DF"/>
                <w:right w:val="single" w:sz="6" w:space="12" w:color="CCD3DF"/>
              </w:divBdr>
              <w:divsChild>
                <w:div w:id="19206305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7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2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5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477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4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8788">
              <w:marLeft w:val="0"/>
              <w:marRight w:val="0"/>
              <w:marTop w:val="0"/>
              <w:marBottom w:val="240"/>
              <w:divBdr>
                <w:top w:val="single" w:sz="6" w:space="18" w:color="CCD3DF"/>
                <w:left w:val="single" w:sz="6" w:space="18" w:color="CCD3DF"/>
                <w:bottom w:val="single" w:sz="6" w:space="18" w:color="CCD3DF"/>
                <w:right w:val="single" w:sz="6" w:space="12" w:color="CCD3DF"/>
              </w:divBdr>
              <w:divsChild>
                <w:div w:id="150393379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84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6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690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BA3E9-6D58-43D8-9713-1878A5202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鄭純惠</dc:creator>
  <cp:keywords/>
  <dc:description/>
  <cp:lastModifiedBy>連玫馨</cp:lastModifiedBy>
  <cp:revision>4</cp:revision>
  <cp:lastPrinted>2021-04-16T07:24:00Z</cp:lastPrinted>
  <dcterms:created xsi:type="dcterms:W3CDTF">2021-04-16T07:26:00Z</dcterms:created>
  <dcterms:modified xsi:type="dcterms:W3CDTF">2021-04-16T07:39:00Z</dcterms:modified>
</cp:coreProperties>
</file>