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A11" w:rsidRPr="00C252AD" w:rsidRDefault="00440A11" w:rsidP="00B76ED6">
      <w:pPr>
        <w:pStyle w:val="2"/>
        <w:keepNext w:val="0"/>
        <w:spacing w:afterLines="15" w:after="54" w:line="440" w:lineRule="exact"/>
        <w:ind w:left="721" w:hangingChars="200" w:hanging="721"/>
        <w:jc w:val="both"/>
        <w:rPr>
          <w:rFonts w:ascii="Times New Roman" w:eastAsia="標楷體" w:hAnsi="標楷體" w:cs="Times New Roman"/>
          <w:bCs w:val="0"/>
          <w:kern w:val="0"/>
          <w:sz w:val="36"/>
          <w:szCs w:val="28"/>
        </w:rPr>
      </w:pPr>
      <w:r w:rsidRPr="00C252AD">
        <w:rPr>
          <w:rFonts w:ascii="Times New Roman" w:eastAsia="標楷體" w:hAnsi="標楷體" w:cs="Times New Roman" w:hint="eastAsia"/>
          <w:bCs w:val="0"/>
          <w:kern w:val="0"/>
          <w:sz w:val="36"/>
          <w:szCs w:val="28"/>
        </w:rPr>
        <w:t>附表</w:t>
      </w:r>
      <w:r w:rsidR="001C1EB5" w:rsidRPr="00C252AD">
        <w:rPr>
          <w:rFonts w:ascii="Times New Roman" w:eastAsia="標楷體" w:hAnsi="標楷體" w:cs="Times New Roman" w:hint="eastAsia"/>
          <w:bCs w:val="0"/>
          <w:kern w:val="0"/>
          <w:sz w:val="36"/>
          <w:szCs w:val="28"/>
        </w:rPr>
        <w:t>一</w:t>
      </w:r>
      <w:r w:rsidRPr="00C252AD">
        <w:rPr>
          <w:rFonts w:ascii="Times New Roman" w:eastAsia="標楷體" w:hAnsi="標楷體" w:cs="Times New Roman" w:hint="eastAsia"/>
          <w:bCs w:val="0"/>
          <w:kern w:val="0"/>
          <w:sz w:val="36"/>
          <w:szCs w:val="28"/>
        </w:rPr>
        <w:t>：</w:t>
      </w:r>
    </w:p>
    <w:tbl>
      <w:tblPr>
        <w:tblStyle w:val="a3"/>
        <w:tblW w:w="9750" w:type="dxa"/>
        <w:jc w:val="center"/>
        <w:tblLook w:val="04A0" w:firstRow="1" w:lastRow="0" w:firstColumn="1" w:lastColumn="0" w:noHBand="0" w:noVBand="1"/>
      </w:tblPr>
      <w:tblGrid>
        <w:gridCol w:w="3206"/>
        <w:gridCol w:w="3326"/>
        <w:gridCol w:w="3218"/>
      </w:tblGrid>
      <w:tr w:rsidR="00DC4797" w:rsidRPr="00DC4797" w:rsidTr="00EB679D">
        <w:trPr>
          <w:jc w:val="center"/>
        </w:trPr>
        <w:tc>
          <w:tcPr>
            <w:tcW w:w="3206" w:type="dxa"/>
            <w:shd w:val="pct10" w:color="auto" w:fill="auto"/>
          </w:tcPr>
          <w:p w:rsidR="00DC4797" w:rsidRDefault="00BB35CE" w:rsidP="00B76ED6">
            <w:pPr>
              <w:pStyle w:val="2"/>
              <w:keepNext w:val="0"/>
              <w:spacing w:afterLines="15" w:after="54" w:line="440" w:lineRule="exact"/>
              <w:ind w:left="480" w:hangingChars="200" w:hanging="480"/>
              <w:jc w:val="center"/>
              <w:outlineLvl w:val="1"/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起</w:t>
            </w:r>
            <w:r w:rsidR="00DC4797"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訴</w:t>
            </w:r>
            <w:r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時</w:t>
            </w:r>
            <w:r w:rsidR="00DC4797"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之聲明</w:t>
            </w:r>
          </w:p>
          <w:p w:rsidR="00121174" w:rsidRPr="00121174" w:rsidRDefault="00121174" w:rsidP="00B76ED6">
            <w:pPr>
              <w:pStyle w:val="2"/>
              <w:keepNext w:val="0"/>
              <w:spacing w:afterLines="15" w:after="54" w:line="400" w:lineRule="exact"/>
              <w:ind w:left="480" w:hangingChars="200" w:hanging="480"/>
              <w:jc w:val="center"/>
              <w:outlineLvl w:val="1"/>
            </w:pPr>
            <w:r w:rsidRPr="00591454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（本院卷一第</w:t>
            </w:r>
            <w:r w:rsidRPr="00591454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8</w:t>
            </w:r>
            <w:r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至</w:t>
            </w:r>
            <w:r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19</w:t>
            </w:r>
            <w:r w:rsidRPr="00591454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頁）</w:t>
            </w:r>
          </w:p>
        </w:tc>
        <w:tc>
          <w:tcPr>
            <w:tcW w:w="3326" w:type="dxa"/>
            <w:shd w:val="pct10" w:color="auto" w:fill="auto"/>
          </w:tcPr>
          <w:p w:rsidR="00DC4797" w:rsidRDefault="00DC4797" w:rsidP="00B76ED6">
            <w:pPr>
              <w:pStyle w:val="2"/>
              <w:keepNext w:val="0"/>
              <w:spacing w:afterLines="15" w:after="54" w:line="400" w:lineRule="exact"/>
              <w:ind w:left="480" w:rightChars="-90" w:right="-216" w:hangingChars="200" w:hanging="480"/>
              <w:jc w:val="center"/>
              <w:outlineLvl w:val="1"/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</w:pP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變更、追加後之聲明</w:t>
            </w:r>
          </w:p>
          <w:p w:rsidR="00591454" w:rsidRPr="00591454" w:rsidRDefault="00591454" w:rsidP="00B76ED6">
            <w:pPr>
              <w:pStyle w:val="2"/>
              <w:keepNext w:val="0"/>
              <w:spacing w:afterLines="15" w:after="54" w:line="400" w:lineRule="exact"/>
              <w:ind w:left="480" w:hangingChars="200" w:hanging="480"/>
              <w:jc w:val="center"/>
              <w:outlineLvl w:val="1"/>
            </w:pPr>
            <w:r w:rsidRPr="00591454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（本院卷一第</w:t>
            </w:r>
            <w:r w:rsidRPr="00591454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155</w:t>
            </w:r>
            <w:r w:rsidRPr="00591454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頁）</w:t>
            </w:r>
          </w:p>
        </w:tc>
        <w:tc>
          <w:tcPr>
            <w:tcW w:w="3218" w:type="dxa"/>
            <w:shd w:val="pct10" w:color="auto" w:fill="auto"/>
          </w:tcPr>
          <w:p w:rsidR="00DC4797" w:rsidRDefault="00DC4797" w:rsidP="00B76ED6">
            <w:pPr>
              <w:pStyle w:val="2"/>
              <w:keepNext w:val="0"/>
              <w:spacing w:afterLines="15" w:after="54" w:line="400" w:lineRule="exact"/>
              <w:ind w:left="480" w:hangingChars="200" w:hanging="480"/>
              <w:jc w:val="center"/>
              <w:outlineLvl w:val="1"/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當庭減縮後之聲明</w:t>
            </w:r>
          </w:p>
          <w:p w:rsidR="00591454" w:rsidRPr="00591454" w:rsidRDefault="00591454" w:rsidP="00B76ED6">
            <w:pPr>
              <w:pStyle w:val="2"/>
              <w:keepNext w:val="0"/>
              <w:spacing w:afterLines="15" w:after="54" w:line="400" w:lineRule="exact"/>
              <w:ind w:left="480" w:hangingChars="200" w:hanging="480"/>
              <w:jc w:val="center"/>
              <w:outlineLvl w:val="1"/>
            </w:pPr>
            <w:r w:rsidRPr="00591454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（本院卷一第</w:t>
            </w:r>
            <w:r w:rsidRPr="00591454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408</w:t>
            </w:r>
            <w:r w:rsidRPr="00591454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至</w:t>
            </w:r>
            <w:r w:rsidRPr="00591454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409</w:t>
            </w:r>
            <w:r w:rsidRPr="00591454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頁）</w:t>
            </w:r>
          </w:p>
        </w:tc>
      </w:tr>
      <w:tr w:rsidR="00806AF9" w:rsidRPr="00DC4797" w:rsidTr="00EB679D">
        <w:trPr>
          <w:jc w:val="center"/>
        </w:trPr>
        <w:tc>
          <w:tcPr>
            <w:tcW w:w="3206" w:type="dxa"/>
          </w:tcPr>
          <w:p w:rsidR="00806AF9" w:rsidRPr="00DC4797" w:rsidRDefault="00806AF9" w:rsidP="00B76ED6">
            <w:pPr>
              <w:pStyle w:val="2"/>
              <w:keepNext w:val="0"/>
              <w:spacing w:afterLines="15" w:after="54" w:line="440" w:lineRule="exact"/>
              <w:ind w:left="480" w:hangingChars="200" w:hanging="480"/>
              <w:jc w:val="both"/>
              <w:outlineLvl w:val="1"/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</w:pP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一、被告應給付原告皇冠金屬工業股份有限公司新台幣（下同）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10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萬元整，暨自存證信函送達翌日起至清償日止，按年息百分之五計算之利息。</w:t>
            </w:r>
          </w:p>
        </w:tc>
        <w:tc>
          <w:tcPr>
            <w:tcW w:w="3326" w:type="dxa"/>
          </w:tcPr>
          <w:p w:rsidR="00806AF9" w:rsidRPr="00DC4797" w:rsidRDefault="00806AF9" w:rsidP="00B76ED6">
            <w:pPr>
              <w:pStyle w:val="2"/>
              <w:keepNext w:val="0"/>
              <w:spacing w:afterLines="15" w:after="54" w:line="400" w:lineRule="exact"/>
              <w:ind w:left="480" w:hangingChars="200" w:hanging="480"/>
              <w:jc w:val="both"/>
              <w:outlineLvl w:val="1"/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</w:pP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一、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被告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  <w:u w:val="single"/>
              </w:rPr>
              <w:t>等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應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  <w:u w:val="single"/>
              </w:rPr>
              <w:t>連帶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給付原告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皇冠金屬工業股份有限公司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新台幣（下同）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10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萬元整，暨自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存證信函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送達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  <w:u w:val="single"/>
              </w:rPr>
              <w:t>被告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翌日起至清償日止，按年息百分之五計算之利息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。</w:t>
            </w:r>
          </w:p>
        </w:tc>
        <w:tc>
          <w:tcPr>
            <w:tcW w:w="3218" w:type="dxa"/>
          </w:tcPr>
          <w:p w:rsidR="00806AF9" w:rsidRPr="00DC4797" w:rsidRDefault="00806AF9" w:rsidP="00E459F5">
            <w:pPr>
              <w:pStyle w:val="2"/>
              <w:keepNext w:val="0"/>
              <w:spacing w:afterLines="15" w:after="54" w:line="400" w:lineRule="exact"/>
              <w:ind w:left="480" w:hangingChars="200" w:hanging="480"/>
              <w:jc w:val="both"/>
              <w:outlineLvl w:val="1"/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</w:pP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一、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被告</w:t>
            </w:r>
            <w:r w:rsidRPr="002E3558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等</w:t>
            </w:r>
            <w:r w:rsidRPr="002E3558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應</w:t>
            </w:r>
            <w:r w:rsidRPr="002E3558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連帶</w:t>
            </w:r>
            <w:r w:rsidRPr="002E3558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給付原告</w:t>
            </w:r>
            <w:r w:rsidRPr="002E3558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皇冠金屬工業股份有限公司</w:t>
            </w:r>
            <w:r w:rsidRPr="002E3558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新台幣（下同）</w:t>
            </w:r>
            <w:r w:rsidRPr="002E3558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10</w:t>
            </w:r>
            <w:r w:rsidRPr="002E3558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萬元整，暨自</w:t>
            </w:r>
            <w:r w:rsidR="00E459F5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起</w:t>
            </w:r>
            <w:r w:rsidR="00E459F5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訴狀</w:t>
            </w:r>
            <w:r w:rsidR="00E459F5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繕</w:t>
            </w:r>
            <w:r w:rsidR="00E459F5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本</w:t>
            </w:r>
            <w:r w:rsidRPr="002E3558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送達被告翌日起至清償日止，按年息</w:t>
            </w:r>
            <w:r w:rsidR="00E459F5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5</w:t>
            </w:r>
            <w:r w:rsidR="00E459F5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％</w:t>
            </w:r>
            <w:r w:rsidRPr="002E3558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計算之利息</w:t>
            </w:r>
            <w:r w:rsidRPr="002E3558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。</w:t>
            </w:r>
          </w:p>
        </w:tc>
      </w:tr>
      <w:tr w:rsidR="00806AF9" w:rsidRPr="00DC4797" w:rsidTr="00EB679D">
        <w:trPr>
          <w:jc w:val="center"/>
        </w:trPr>
        <w:tc>
          <w:tcPr>
            <w:tcW w:w="3206" w:type="dxa"/>
          </w:tcPr>
          <w:p w:rsidR="00806AF9" w:rsidRPr="00DC4797" w:rsidRDefault="00806AF9" w:rsidP="00B76ED6">
            <w:pPr>
              <w:pStyle w:val="2"/>
              <w:keepNext w:val="0"/>
              <w:spacing w:afterLines="15" w:after="54" w:line="440" w:lineRule="exact"/>
              <w:ind w:left="480" w:hangingChars="200" w:hanging="480"/>
              <w:jc w:val="both"/>
              <w:outlineLvl w:val="1"/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</w:pP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二、被告應銷毀侵害中華民國專利公告號第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D150543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號設計專利「飲料容器」專利權之飲料容器，且不得自行或使他人製造、為販賣之要約、販賣、使用或為上述目的而進口侵害中華民國專利公告號第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D150543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號設計專利「飲料容器」專利權之飲料容器。</w:t>
            </w:r>
          </w:p>
        </w:tc>
        <w:tc>
          <w:tcPr>
            <w:tcW w:w="3326" w:type="dxa"/>
          </w:tcPr>
          <w:p w:rsidR="00806AF9" w:rsidRPr="00DC4797" w:rsidRDefault="00806AF9" w:rsidP="00B76ED6">
            <w:pPr>
              <w:pStyle w:val="2"/>
              <w:keepNext w:val="0"/>
              <w:spacing w:afterLines="15" w:after="54" w:line="440" w:lineRule="exact"/>
              <w:ind w:left="480" w:hangingChars="200" w:hanging="480"/>
              <w:jc w:val="both"/>
              <w:outlineLvl w:val="1"/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</w:pP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二、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被告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  <w:u w:val="single"/>
              </w:rPr>
              <w:t>等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應銷毀侵害中華民國專利公告號第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D150543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號設計專利「飲料容器」專利權之飲料容器，且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不得自行或使他人製造、為販賣之要約、販賣、使用或為上述目的而進口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侵害中華民國專利公告號第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D150543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號設計專利「飲料容器」專利權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之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飲料容器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。</w:t>
            </w:r>
          </w:p>
        </w:tc>
        <w:tc>
          <w:tcPr>
            <w:tcW w:w="3218" w:type="dxa"/>
          </w:tcPr>
          <w:p w:rsidR="00806AF9" w:rsidRPr="00DC4797" w:rsidRDefault="00806AF9" w:rsidP="00021B97">
            <w:pPr>
              <w:pStyle w:val="2"/>
              <w:keepNext w:val="0"/>
              <w:spacing w:afterLines="15" w:after="54" w:line="440" w:lineRule="exact"/>
              <w:ind w:left="480" w:hangingChars="200" w:hanging="480"/>
              <w:jc w:val="both"/>
              <w:outlineLvl w:val="1"/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</w:pP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二、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被告</w:t>
            </w:r>
            <w:r w:rsidRPr="00B76ED6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等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應銷毀侵害中華民國第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D150543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號設計專利「飲料容器」專利權之飲料容器，且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不得自行或使他人製造、為販賣之要約</w:t>
            </w:r>
            <w:bookmarkStart w:id="0" w:name="_GoBack"/>
            <w:bookmarkEnd w:id="0"/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、販賣、使用或為上述目的而進口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侵害</w:t>
            </w:r>
            <w:r w:rsidR="00C252AD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第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D150543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號設計專利「飲料容器」專利權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之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飲料容器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。</w:t>
            </w:r>
          </w:p>
        </w:tc>
      </w:tr>
      <w:tr w:rsidR="00806AF9" w:rsidRPr="00DC4797" w:rsidTr="00EB679D">
        <w:trPr>
          <w:jc w:val="center"/>
        </w:trPr>
        <w:tc>
          <w:tcPr>
            <w:tcW w:w="3206" w:type="dxa"/>
          </w:tcPr>
          <w:p w:rsidR="00806AF9" w:rsidRPr="00DC4797" w:rsidRDefault="00806AF9" w:rsidP="00B76ED6">
            <w:pPr>
              <w:pStyle w:val="2"/>
              <w:keepNext w:val="0"/>
              <w:spacing w:afterLines="15" w:after="54" w:line="440" w:lineRule="exact"/>
              <w:ind w:left="480" w:hangingChars="200" w:hanging="480"/>
              <w:jc w:val="both"/>
              <w:outlineLvl w:val="1"/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</w:pP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三、被告應將本案判決之當事人、案由及主文，刊登在中國時報、聯合報、自由時報或蘋果日報四大報擇一之全國版頭版報頭邊，其尺寸不得小於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60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平方公分。</w:t>
            </w:r>
          </w:p>
        </w:tc>
        <w:tc>
          <w:tcPr>
            <w:tcW w:w="3326" w:type="dxa"/>
          </w:tcPr>
          <w:p w:rsidR="00806AF9" w:rsidRPr="00DC4797" w:rsidRDefault="00806AF9" w:rsidP="00B76ED6">
            <w:pPr>
              <w:pStyle w:val="2"/>
              <w:keepNext w:val="0"/>
              <w:spacing w:afterLines="15" w:after="54" w:line="440" w:lineRule="exact"/>
              <w:ind w:left="480" w:hangingChars="200" w:hanging="480"/>
              <w:jc w:val="both"/>
              <w:outlineLvl w:val="1"/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</w:pP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三、被告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  <w:u w:val="single"/>
              </w:rPr>
              <w:t>等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應將本案判決之當事人、案由及主文，刊登在中國時報、聯合報、自由時報或蘋果日報四大報擇一之全國版頭版報頭邊，其尺寸不得小於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60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平方公分。</w:t>
            </w:r>
          </w:p>
        </w:tc>
        <w:tc>
          <w:tcPr>
            <w:tcW w:w="3218" w:type="dxa"/>
          </w:tcPr>
          <w:p w:rsidR="00806AF9" w:rsidRPr="00DC4797" w:rsidRDefault="00806AF9" w:rsidP="00B76ED6">
            <w:pPr>
              <w:pStyle w:val="2"/>
              <w:keepNext w:val="0"/>
              <w:spacing w:afterLines="15" w:after="54" w:line="440" w:lineRule="exact"/>
              <w:ind w:left="480" w:hangingChars="200" w:hanging="480"/>
              <w:jc w:val="both"/>
              <w:outlineLvl w:val="1"/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</w:pP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三、被告</w:t>
            </w:r>
            <w:r w:rsidRPr="00EE2241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等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應將本案判決之當事人、案由及主文，刊登在中國時報、聯合報、自由時報或蘋果日報四大報擇一之全國版頭版報頭邊，其尺寸不得小於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60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平方公分。</w:t>
            </w:r>
          </w:p>
        </w:tc>
      </w:tr>
      <w:tr w:rsidR="00806AF9" w:rsidRPr="00DC4797" w:rsidTr="00EB679D">
        <w:trPr>
          <w:jc w:val="center"/>
        </w:trPr>
        <w:tc>
          <w:tcPr>
            <w:tcW w:w="3206" w:type="dxa"/>
          </w:tcPr>
          <w:p w:rsidR="00806AF9" w:rsidRPr="00DC4797" w:rsidRDefault="00806AF9" w:rsidP="00B76ED6">
            <w:pPr>
              <w:pStyle w:val="2"/>
              <w:keepNext w:val="0"/>
              <w:spacing w:afterLines="15" w:after="54" w:line="440" w:lineRule="exact"/>
              <w:ind w:left="480" w:hangingChars="200" w:hanging="480"/>
              <w:jc w:val="both"/>
              <w:outlineLvl w:val="1"/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</w:pP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四、訴訟費用由被告負擔。</w:t>
            </w:r>
          </w:p>
        </w:tc>
        <w:tc>
          <w:tcPr>
            <w:tcW w:w="3326" w:type="dxa"/>
          </w:tcPr>
          <w:p w:rsidR="00806AF9" w:rsidRPr="00DC4797" w:rsidRDefault="00806AF9" w:rsidP="00B76ED6">
            <w:pPr>
              <w:pStyle w:val="2"/>
              <w:keepNext w:val="0"/>
              <w:spacing w:afterLines="15" w:after="54" w:line="440" w:lineRule="exact"/>
              <w:ind w:left="480" w:hangingChars="200" w:hanging="480"/>
              <w:jc w:val="both"/>
              <w:outlineLvl w:val="1"/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</w:pP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四、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訴訟費用由被告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  <w:u w:val="single"/>
              </w:rPr>
              <w:t>等連帶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負擔。</w:t>
            </w:r>
          </w:p>
        </w:tc>
        <w:tc>
          <w:tcPr>
            <w:tcW w:w="3218" w:type="dxa"/>
          </w:tcPr>
          <w:p w:rsidR="00806AF9" w:rsidRPr="00DC4797" w:rsidRDefault="00806AF9" w:rsidP="00B76ED6">
            <w:pPr>
              <w:pStyle w:val="2"/>
              <w:keepNext w:val="0"/>
              <w:spacing w:afterLines="15" w:after="54" w:line="440" w:lineRule="exact"/>
              <w:ind w:left="480" w:hangingChars="200" w:hanging="480"/>
              <w:jc w:val="both"/>
              <w:outlineLvl w:val="1"/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</w:pP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四、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訴訟費用由被告</w:t>
            </w:r>
            <w:r w:rsidRPr="00EE2241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等連帶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負擔。</w:t>
            </w:r>
          </w:p>
        </w:tc>
      </w:tr>
      <w:tr w:rsidR="00806AF9" w:rsidRPr="00DC4797" w:rsidTr="00EB679D">
        <w:trPr>
          <w:jc w:val="center"/>
        </w:trPr>
        <w:tc>
          <w:tcPr>
            <w:tcW w:w="3206" w:type="dxa"/>
          </w:tcPr>
          <w:p w:rsidR="00806AF9" w:rsidRPr="00DC4797" w:rsidRDefault="00806AF9" w:rsidP="00B76ED6">
            <w:pPr>
              <w:pStyle w:val="2"/>
              <w:keepNext w:val="0"/>
              <w:spacing w:beforeLines="5" w:before="18" w:afterLines="5" w:after="18" w:line="520" w:lineRule="exact"/>
              <w:jc w:val="both"/>
              <w:outlineLvl w:val="1"/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326" w:type="dxa"/>
          </w:tcPr>
          <w:p w:rsidR="00806AF9" w:rsidRPr="00DC4797" w:rsidRDefault="00806AF9" w:rsidP="00B76ED6">
            <w:pPr>
              <w:pStyle w:val="2"/>
              <w:keepNext w:val="0"/>
              <w:spacing w:afterLines="15" w:after="54" w:line="440" w:lineRule="exact"/>
              <w:ind w:left="480" w:hangingChars="200" w:hanging="480"/>
              <w:jc w:val="both"/>
              <w:outlineLvl w:val="1"/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</w:pP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五、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  <w:u w:val="single"/>
              </w:rPr>
              <w:t>上第一、四項給付，如有一被告給付時，其餘被告就已給付部分，免其責任。</w:t>
            </w:r>
          </w:p>
        </w:tc>
        <w:tc>
          <w:tcPr>
            <w:tcW w:w="3218" w:type="dxa"/>
          </w:tcPr>
          <w:p w:rsidR="00806AF9" w:rsidRPr="00DC4797" w:rsidRDefault="00806AF9" w:rsidP="00B76ED6">
            <w:pPr>
              <w:pStyle w:val="2"/>
              <w:keepNext w:val="0"/>
              <w:spacing w:afterLines="15" w:after="54" w:line="440" w:lineRule="exact"/>
              <w:ind w:left="480" w:hangingChars="200" w:hanging="480"/>
              <w:jc w:val="both"/>
              <w:outlineLvl w:val="1"/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</w:pP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五、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  <w:u w:val="single"/>
              </w:rPr>
              <w:t>第一項</w:t>
            </w:r>
            <w:r w:rsidRPr="00EE2241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給付，如有一被告給付時，其餘被告就已給付部分，免其責任。</w:t>
            </w:r>
          </w:p>
        </w:tc>
      </w:tr>
      <w:tr w:rsidR="00806AF9" w:rsidRPr="00DC4797" w:rsidTr="00EB679D">
        <w:trPr>
          <w:jc w:val="center"/>
        </w:trPr>
        <w:tc>
          <w:tcPr>
            <w:tcW w:w="3206" w:type="dxa"/>
          </w:tcPr>
          <w:p w:rsidR="00806AF9" w:rsidRPr="00DC4797" w:rsidRDefault="00806AF9" w:rsidP="00B76ED6">
            <w:pPr>
              <w:pStyle w:val="2"/>
              <w:keepNext w:val="0"/>
              <w:spacing w:afterLines="15" w:after="54" w:line="440" w:lineRule="exact"/>
              <w:ind w:left="480" w:hangingChars="200" w:hanging="480"/>
              <w:jc w:val="both"/>
              <w:outlineLvl w:val="1"/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</w:pP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五、上第一項聲明，原告願以現金或同額之可轉讓定期存單供擔保，請求准予宣告假執行。</w:t>
            </w:r>
          </w:p>
        </w:tc>
        <w:tc>
          <w:tcPr>
            <w:tcW w:w="3326" w:type="dxa"/>
          </w:tcPr>
          <w:p w:rsidR="00806AF9" w:rsidRPr="00DC4797" w:rsidRDefault="00806AF9" w:rsidP="00B76ED6">
            <w:pPr>
              <w:pStyle w:val="2"/>
              <w:keepNext w:val="0"/>
              <w:spacing w:afterLines="15" w:after="54" w:line="440" w:lineRule="exact"/>
              <w:ind w:left="480" w:hangingChars="200" w:hanging="480"/>
              <w:jc w:val="both"/>
              <w:outlineLvl w:val="1"/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</w:pP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  <w:u w:val="single"/>
              </w:rPr>
              <w:t>六、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上第一項聲明，原告願以現金或同額之可轉讓定期存單供擔保，請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求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准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予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宣告假執行。</w:t>
            </w:r>
          </w:p>
        </w:tc>
        <w:tc>
          <w:tcPr>
            <w:tcW w:w="3218" w:type="dxa"/>
          </w:tcPr>
          <w:p w:rsidR="00806AF9" w:rsidRPr="00DC4797" w:rsidRDefault="00806AF9" w:rsidP="00B76ED6">
            <w:pPr>
              <w:pStyle w:val="2"/>
              <w:keepNext w:val="0"/>
              <w:spacing w:afterLines="15" w:after="54" w:line="440" w:lineRule="exact"/>
              <w:ind w:left="480" w:hangingChars="200" w:hanging="480"/>
              <w:jc w:val="both"/>
              <w:outlineLvl w:val="1"/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</w:pPr>
            <w:r w:rsidRPr="00EE2241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六、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第一項聲明，願以現金或同額之可轉讓定期存單供擔保，請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求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准</w:t>
            </w:r>
            <w:r w:rsidRPr="00DC4797">
              <w:rPr>
                <w:rFonts w:ascii="Times New Roman" w:eastAsia="標楷體" w:hAnsi="標楷體" w:cs="Times New Roman" w:hint="eastAsia"/>
                <w:b w:val="0"/>
                <w:bCs w:val="0"/>
                <w:sz w:val="24"/>
                <w:szCs w:val="24"/>
              </w:rPr>
              <w:t>予</w:t>
            </w:r>
            <w:r w:rsidRPr="00DC4797">
              <w:rPr>
                <w:rFonts w:ascii="Times New Roman" w:eastAsia="標楷體" w:hAnsi="標楷體" w:cs="Times New Roman"/>
                <w:b w:val="0"/>
                <w:bCs w:val="0"/>
                <w:sz w:val="24"/>
                <w:szCs w:val="24"/>
              </w:rPr>
              <w:t>宣告假執行。</w:t>
            </w:r>
          </w:p>
        </w:tc>
      </w:tr>
    </w:tbl>
    <w:p w:rsidR="00445AA3" w:rsidRDefault="00445AA3"/>
    <w:p w:rsidR="00C252AD" w:rsidRDefault="00C252AD"/>
    <w:p w:rsidR="00C252AD" w:rsidRDefault="00C252AD"/>
    <w:p w:rsidR="00C252AD" w:rsidRDefault="00C252AD"/>
    <w:p w:rsidR="00C252AD" w:rsidRDefault="00C252AD"/>
    <w:p w:rsidR="00C252AD" w:rsidRDefault="00C252AD"/>
    <w:p w:rsidR="001C1EB5" w:rsidRPr="00C252AD" w:rsidRDefault="001C1EB5" w:rsidP="00B76ED6">
      <w:pPr>
        <w:pStyle w:val="2"/>
        <w:keepNext w:val="0"/>
        <w:spacing w:afterLines="15" w:after="54" w:line="440" w:lineRule="exact"/>
        <w:ind w:left="721" w:hangingChars="200" w:hanging="721"/>
        <w:jc w:val="both"/>
        <w:rPr>
          <w:rFonts w:ascii="Times New Roman" w:eastAsia="標楷體" w:hAnsi="標楷體" w:cs="Times New Roman"/>
          <w:bCs w:val="0"/>
          <w:kern w:val="0"/>
          <w:sz w:val="36"/>
          <w:szCs w:val="28"/>
        </w:rPr>
      </w:pPr>
      <w:r w:rsidRPr="00C252AD">
        <w:rPr>
          <w:rFonts w:ascii="Times New Roman" w:eastAsia="標楷體" w:hAnsi="標楷體" w:cs="Times New Roman" w:hint="eastAsia"/>
          <w:bCs w:val="0"/>
          <w:kern w:val="0"/>
          <w:sz w:val="36"/>
          <w:szCs w:val="28"/>
        </w:rPr>
        <w:t>附表二：</w:t>
      </w:r>
    </w:p>
    <w:p w:rsidR="001B719E" w:rsidRDefault="00532725" w:rsidP="001B719E"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-264160</wp:posOffset>
            </wp:positionH>
            <wp:positionV relativeFrom="paragraph">
              <wp:posOffset>22860</wp:posOffset>
            </wp:positionV>
            <wp:extent cx="6284595" cy="4023360"/>
            <wp:effectExtent l="19050" t="0" r="1905" b="0"/>
            <wp:wrapNone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4595" cy="402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719E" w:rsidRDefault="001B719E" w:rsidP="001B719E"/>
    <w:p w:rsidR="00D34816" w:rsidRDefault="00D34816" w:rsidP="001B719E"/>
    <w:p w:rsidR="00D34816" w:rsidRPr="00D34816" w:rsidRDefault="00D34816" w:rsidP="00D34816"/>
    <w:p w:rsidR="00D34816" w:rsidRPr="00D34816" w:rsidRDefault="00D34816" w:rsidP="00D34816"/>
    <w:p w:rsidR="00D34816" w:rsidRPr="00D34816" w:rsidRDefault="00D34816" w:rsidP="00D34816"/>
    <w:p w:rsidR="00D34816" w:rsidRPr="00D34816" w:rsidRDefault="00D34816" w:rsidP="00D34816"/>
    <w:p w:rsidR="00D34816" w:rsidRPr="00D34816" w:rsidRDefault="00D34816" w:rsidP="00D34816"/>
    <w:p w:rsidR="00D34816" w:rsidRPr="00D34816" w:rsidRDefault="00D34816" w:rsidP="00D34816"/>
    <w:p w:rsidR="00D34816" w:rsidRPr="00D34816" w:rsidRDefault="00D34816" w:rsidP="00D34816"/>
    <w:p w:rsidR="00D34816" w:rsidRPr="00D34816" w:rsidRDefault="00D34816" w:rsidP="00D34816"/>
    <w:p w:rsidR="00D34816" w:rsidRPr="00D34816" w:rsidRDefault="00D34816" w:rsidP="00D34816"/>
    <w:p w:rsidR="00D34816" w:rsidRPr="00D34816" w:rsidRDefault="00D34816" w:rsidP="00D34816"/>
    <w:p w:rsidR="00D34816" w:rsidRPr="00D34816" w:rsidRDefault="00D34816" w:rsidP="00D34816"/>
    <w:p w:rsidR="00D34816" w:rsidRPr="00D34816" w:rsidRDefault="00D34816" w:rsidP="00D34816"/>
    <w:p w:rsidR="00D34816" w:rsidRPr="00D34816" w:rsidRDefault="00D34816" w:rsidP="00D34816"/>
    <w:p w:rsidR="00D34816" w:rsidRPr="00D34816" w:rsidRDefault="00D34816" w:rsidP="00D34816"/>
    <w:p w:rsidR="00D34816" w:rsidRPr="00D34816" w:rsidRDefault="00D34816" w:rsidP="00D34816"/>
    <w:p w:rsidR="00D34816" w:rsidRPr="00D34816" w:rsidRDefault="00D34816" w:rsidP="00D34816"/>
    <w:p w:rsidR="00D34816" w:rsidRPr="00D34816" w:rsidRDefault="00D34816" w:rsidP="00D34816"/>
    <w:p w:rsidR="00D34816" w:rsidRDefault="00D34816">
      <w:pPr>
        <w:widowControl/>
      </w:pPr>
    </w:p>
    <w:sectPr w:rsidR="00D34816" w:rsidSect="00D7319A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925" w:rsidRPr="00AA5B37" w:rsidRDefault="00CB5925" w:rsidP="00DC4797">
      <w:pPr>
        <w:rPr>
          <w:rFonts w:eastAsia="標楷體"/>
          <w:sz w:val="28"/>
        </w:rPr>
      </w:pPr>
      <w:r>
        <w:separator/>
      </w:r>
    </w:p>
  </w:endnote>
  <w:endnote w:type="continuationSeparator" w:id="0">
    <w:p w:rsidR="00CB5925" w:rsidRPr="00AA5B37" w:rsidRDefault="00CB5925" w:rsidP="00DC4797">
      <w:pPr>
        <w:rPr>
          <w:rFonts w:eastAsia="標楷體"/>
          <w:sz w:val="28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925" w:rsidRPr="00AA5B37" w:rsidRDefault="00CB5925" w:rsidP="00DC4797">
      <w:pPr>
        <w:rPr>
          <w:rFonts w:eastAsia="標楷體"/>
          <w:sz w:val="28"/>
        </w:rPr>
      </w:pPr>
      <w:r>
        <w:separator/>
      </w:r>
    </w:p>
  </w:footnote>
  <w:footnote w:type="continuationSeparator" w:id="0">
    <w:p w:rsidR="00CB5925" w:rsidRPr="00AA5B37" w:rsidRDefault="00CB5925" w:rsidP="00DC4797">
      <w:pPr>
        <w:rPr>
          <w:rFonts w:eastAsia="標楷體"/>
          <w:sz w:val="28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40A11"/>
    <w:rsid w:val="00002EAA"/>
    <w:rsid w:val="00021B97"/>
    <w:rsid w:val="000A6E1B"/>
    <w:rsid w:val="00121174"/>
    <w:rsid w:val="00167050"/>
    <w:rsid w:val="001B719E"/>
    <w:rsid w:val="001C1EB5"/>
    <w:rsid w:val="002550D8"/>
    <w:rsid w:val="002E3558"/>
    <w:rsid w:val="003A6939"/>
    <w:rsid w:val="00440A11"/>
    <w:rsid w:val="00445AA3"/>
    <w:rsid w:val="00455876"/>
    <w:rsid w:val="00532725"/>
    <w:rsid w:val="00535C17"/>
    <w:rsid w:val="00576522"/>
    <w:rsid w:val="00591454"/>
    <w:rsid w:val="005F050E"/>
    <w:rsid w:val="00750AF5"/>
    <w:rsid w:val="00806AF9"/>
    <w:rsid w:val="0088691E"/>
    <w:rsid w:val="008D2C1E"/>
    <w:rsid w:val="00907B8E"/>
    <w:rsid w:val="00991AFB"/>
    <w:rsid w:val="00B14564"/>
    <w:rsid w:val="00B76ED6"/>
    <w:rsid w:val="00BB35CE"/>
    <w:rsid w:val="00C252AD"/>
    <w:rsid w:val="00C42FC8"/>
    <w:rsid w:val="00C94EAF"/>
    <w:rsid w:val="00CB5925"/>
    <w:rsid w:val="00D34816"/>
    <w:rsid w:val="00D62201"/>
    <w:rsid w:val="00D7319A"/>
    <w:rsid w:val="00D74A16"/>
    <w:rsid w:val="00DC4797"/>
    <w:rsid w:val="00E3616F"/>
    <w:rsid w:val="00E459F5"/>
    <w:rsid w:val="00EB679D"/>
    <w:rsid w:val="00EE2241"/>
    <w:rsid w:val="00EF2594"/>
    <w:rsid w:val="00FF4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."/>
  <w:listSeparator w:val=","/>
  <w15:docId w15:val="{D5BA1B84-7E64-452F-BDD2-8B2BA81C2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A1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nhideWhenUsed/>
    <w:qFormat/>
    <w:rsid w:val="00440A11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440A11"/>
    <w:rPr>
      <w:rFonts w:asciiTheme="majorHAnsi" w:eastAsiaTheme="majorEastAsia" w:hAnsiTheme="majorHAnsi" w:cstheme="majorBidi"/>
      <w:b/>
      <w:bCs/>
      <w:sz w:val="48"/>
      <w:szCs w:val="48"/>
    </w:rPr>
  </w:style>
  <w:style w:type="table" w:styleId="a3">
    <w:name w:val="Table Grid"/>
    <w:basedOn w:val="a1"/>
    <w:uiPriority w:val="59"/>
    <w:rsid w:val="00440A1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DC47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C4797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DC47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C4797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F25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F259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547</Words>
  <Characters>570</Characters>
  <Application>Microsoft Office Word</Application>
  <DocSecurity>0</DocSecurity>
  <Lines>81</Lines>
  <Paragraphs>25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法助王攀傑</dc:creator>
  <dc:description>審判Word系統版本:1090303-01</dc:description>
  <cp:lastModifiedBy>ipc</cp:lastModifiedBy>
  <cp:revision>17</cp:revision>
  <dcterms:created xsi:type="dcterms:W3CDTF">2021-04-27T08:21:00Z</dcterms:created>
  <dcterms:modified xsi:type="dcterms:W3CDTF">2021-05-11T10:06:00Z</dcterms:modified>
</cp:coreProperties>
</file>